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A7205A" w:rsidP="00441B00">
            <w:pPr>
              <w:rPr>
                <w:b/>
              </w:rPr>
            </w:pPr>
            <w:r>
              <w:rPr>
                <w:rStyle w:val="Firstpagetablebold"/>
              </w:rPr>
              <w:t>1</w:t>
            </w:r>
            <w:r w:rsidR="00441B00">
              <w:rPr>
                <w:rStyle w:val="Firstpagetablebold"/>
              </w:rPr>
              <w:t>6</w:t>
            </w:r>
            <w:r>
              <w:rPr>
                <w:rStyle w:val="Firstpagetablebold"/>
              </w:rPr>
              <w:t xml:space="preserve"> </w:t>
            </w:r>
            <w:r w:rsidR="00441B00">
              <w:rPr>
                <w:rStyle w:val="Firstpagetablebold"/>
              </w:rPr>
              <w:t>October</w:t>
            </w:r>
            <w:r>
              <w:rPr>
                <w:rStyle w:val="Firstpagetablebold"/>
              </w:rPr>
              <w:t xml:space="preserve"> 201</w:t>
            </w:r>
            <w:r w:rsidR="00441B00">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A7205A" w:rsidP="00A7205A">
            <w:pPr>
              <w:rPr>
                <w:rStyle w:val="Firstpagetablebold"/>
              </w:rPr>
            </w:pPr>
            <w:r w:rsidRPr="00A7205A">
              <w:rPr>
                <w:rStyle w:val="Firstpagetablebold"/>
              </w:rPr>
              <w:t>Executive Director</w:t>
            </w:r>
            <w:r w:rsidRPr="00A7205A">
              <w:rPr>
                <w:rStyle w:val="Firstpagetablebold"/>
              </w:rPr>
              <w:tab/>
              <w:t>Organisational Development &amp; Corporate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4234F" w:rsidP="004A6D2F">
            <w:pPr>
              <w:rPr>
                <w:rStyle w:val="Firstpagetablebold"/>
              </w:rPr>
            </w:pPr>
            <w:r>
              <w:rPr>
                <w:rStyle w:val="Firstpagetablebold"/>
              </w:rPr>
              <w:t xml:space="preserve">Review of Discretionary Housing Payment </w:t>
            </w:r>
            <w:r w:rsidR="00D93BBA">
              <w:rPr>
                <w:rStyle w:val="Firstpagetablebold"/>
              </w:rPr>
              <w:t>Policy</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4"/>
        <w:gridCol w:w="6384"/>
      </w:tblGrid>
      <w:tr w:rsidR="00D5547E" w:rsidTr="00AD7DBC">
        <w:trPr>
          <w:trHeight w:val="140"/>
        </w:trPr>
        <w:tc>
          <w:tcPr>
            <w:tcW w:w="8813"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D7DBC">
        <w:trPr>
          <w:trHeight w:val="236"/>
        </w:trPr>
        <w:tc>
          <w:tcPr>
            <w:tcW w:w="2429"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384" w:type="dxa"/>
            <w:tcBorders>
              <w:top w:val="single" w:sz="8" w:space="0" w:color="000000"/>
              <w:left w:val="nil"/>
              <w:bottom w:val="nil"/>
              <w:right w:val="single" w:sz="8" w:space="0" w:color="000000"/>
            </w:tcBorders>
            <w:hideMark/>
          </w:tcPr>
          <w:p w:rsidR="00D5547E" w:rsidRPr="001356F1" w:rsidRDefault="00A7205A" w:rsidP="00664F63">
            <w:r>
              <w:t xml:space="preserve">To </w:t>
            </w:r>
            <w:r w:rsidR="00664F63">
              <w:t>seek a</w:t>
            </w:r>
            <w:r w:rsidR="0064234F">
              <w:t xml:space="preserve">pproval </w:t>
            </w:r>
            <w:r w:rsidR="00664F63">
              <w:t>to</w:t>
            </w:r>
            <w:r w:rsidR="0064234F">
              <w:t xml:space="preserve"> </w:t>
            </w:r>
            <w:r w:rsidR="00664F63">
              <w:t>maintain t</w:t>
            </w:r>
            <w:r w:rsidR="0064234F">
              <w:t xml:space="preserve">he </w:t>
            </w:r>
            <w:r w:rsidR="00664F63">
              <w:t>current</w:t>
            </w:r>
            <w:r w:rsidR="0064234F">
              <w:t xml:space="preserve"> Discretionar</w:t>
            </w:r>
            <w:r w:rsidR="00664F63">
              <w:t>y Housing Payment policy and to note the trends in expenditure detailed in the report.</w:t>
            </w:r>
          </w:p>
        </w:tc>
      </w:tr>
      <w:tr w:rsidR="00D5547E" w:rsidTr="00AD7DBC">
        <w:trPr>
          <w:trHeight w:val="140"/>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384" w:type="dxa"/>
            <w:tcBorders>
              <w:top w:val="nil"/>
              <w:left w:val="nil"/>
              <w:bottom w:val="nil"/>
              <w:right w:val="single" w:sz="8" w:space="0" w:color="000000"/>
            </w:tcBorders>
            <w:hideMark/>
          </w:tcPr>
          <w:p w:rsidR="00D5547E" w:rsidRPr="001356F1" w:rsidRDefault="00911EB1" w:rsidP="005F7F7E">
            <w:r w:rsidRPr="004A044B">
              <w:rPr>
                <w:color w:val="auto"/>
              </w:rPr>
              <w:t>Yes</w:t>
            </w:r>
          </w:p>
        </w:tc>
      </w:tr>
      <w:tr w:rsidR="00D5547E" w:rsidTr="00AD7DBC">
        <w:trPr>
          <w:trHeight w:val="236"/>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384" w:type="dxa"/>
            <w:tcBorders>
              <w:top w:val="nil"/>
              <w:left w:val="nil"/>
              <w:bottom w:val="nil"/>
              <w:right w:val="single" w:sz="8" w:space="0" w:color="000000"/>
            </w:tcBorders>
            <w:hideMark/>
          </w:tcPr>
          <w:p w:rsidR="00D5547E" w:rsidRPr="001356F1" w:rsidRDefault="00A7205A" w:rsidP="005F7F7E">
            <w:r w:rsidRPr="00A7205A">
              <w:t>Councillor Susan Brown, Board Member for Customer and Corporate Services</w:t>
            </w:r>
          </w:p>
        </w:tc>
      </w:tr>
      <w:tr w:rsidR="0080749A" w:rsidTr="00AD7DBC">
        <w:trPr>
          <w:trHeight w:val="236"/>
        </w:trPr>
        <w:tc>
          <w:tcPr>
            <w:tcW w:w="2429"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384" w:type="dxa"/>
            <w:tcBorders>
              <w:top w:val="nil"/>
              <w:left w:val="nil"/>
              <w:bottom w:val="nil"/>
              <w:right w:val="single" w:sz="8" w:space="0" w:color="000000"/>
            </w:tcBorders>
          </w:tcPr>
          <w:p w:rsidR="0080749A" w:rsidRPr="001356F1" w:rsidRDefault="00A7205A" w:rsidP="005F7F7E">
            <w:r w:rsidRPr="00A7205A">
              <w:t>A Vibrant, Sustainable Economy, Strong and Active Communities</w:t>
            </w:r>
          </w:p>
        </w:tc>
      </w:tr>
      <w:tr w:rsidR="00D5547E" w:rsidTr="00AD7DBC">
        <w:trPr>
          <w:trHeight w:val="135"/>
        </w:trPr>
        <w:tc>
          <w:tcPr>
            <w:tcW w:w="2429"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384" w:type="dxa"/>
            <w:tcBorders>
              <w:top w:val="nil"/>
              <w:left w:val="nil"/>
              <w:bottom w:val="nil"/>
              <w:right w:val="single" w:sz="8" w:space="0" w:color="000000"/>
            </w:tcBorders>
            <w:hideMark/>
          </w:tcPr>
          <w:p w:rsidR="00D5547E" w:rsidRPr="001356F1" w:rsidRDefault="00AC656D" w:rsidP="00AC656D">
            <w:r>
              <w:t>Corporate Plan; Financial Inclusion Strategy</w:t>
            </w:r>
            <w:r w:rsidR="00D5547E" w:rsidRPr="001356F1">
              <w:t>.</w:t>
            </w:r>
          </w:p>
        </w:tc>
      </w:tr>
      <w:tr w:rsidR="005F7F7E" w:rsidRPr="00975B07" w:rsidTr="00AD7DBC">
        <w:trPr>
          <w:trHeight w:val="145"/>
        </w:trPr>
        <w:tc>
          <w:tcPr>
            <w:tcW w:w="8813" w:type="dxa"/>
            <w:gridSpan w:val="3"/>
            <w:tcBorders>
              <w:bottom w:val="single" w:sz="8" w:space="0" w:color="000000"/>
            </w:tcBorders>
          </w:tcPr>
          <w:p w:rsidR="005F7F7E" w:rsidRPr="00975B07" w:rsidRDefault="00DC4F98" w:rsidP="004A6D2F">
            <w:proofErr w:type="spellStart"/>
            <w:r>
              <w:rPr>
                <w:rStyle w:val="Firstpagetablebold"/>
              </w:rPr>
              <w:t>Recommendation</w:t>
            </w:r>
            <w:r w:rsidR="005F7F7E">
              <w:rPr>
                <w:rStyle w:val="Firstpagetablebold"/>
              </w:rPr>
              <w:t>:That</w:t>
            </w:r>
            <w:proofErr w:type="spellEnd"/>
            <w:r w:rsidR="005F7F7E">
              <w:rPr>
                <w:rStyle w:val="Firstpagetablebold"/>
              </w:rPr>
              <w:t xml:space="preserve"> the City Executive Board resolves to:</w:t>
            </w:r>
          </w:p>
        </w:tc>
      </w:tr>
      <w:tr w:rsidR="0030208D" w:rsidRPr="00975B07" w:rsidTr="00AD7DBC">
        <w:trPr>
          <w:trHeight w:val="99"/>
        </w:trPr>
        <w:tc>
          <w:tcPr>
            <w:tcW w:w="425"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388" w:type="dxa"/>
            <w:gridSpan w:val="2"/>
            <w:tcBorders>
              <w:top w:val="single" w:sz="8" w:space="0" w:color="000000"/>
              <w:left w:val="nil"/>
              <w:bottom w:val="nil"/>
              <w:right w:val="single" w:sz="8" w:space="0" w:color="000000"/>
            </w:tcBorders>
            <w:shd w:val="clear" w:color="auto" w:fill="auto"/>
          </w:tcPr>
          <w:p w:rsidR="0030208D" w:rsidRPr="001356F1" w:rsidRDefault="0064234F" w:rsidP="00664F63">
            <w:r>
              <w:rPr>
                <w:rStyle w:val="Firstpagetablebold"/>
              </w:rPr>
              <w:t xml:space="preserve">Approve the </w:t>
            </w:r>
            <w:r w:rsidR="00664F63">
              <w:rPr>
                <w:rStyle w:val="Firstpagetablebold"/>
              </w:rPr>
              <w:t xml:space="preserve">maintenance of the existing </w:t>
            </w:r>
            <w:r>
              <w:rPr>
                <w:rStyle w:val="Firstpagetablebold"/>
              </w:rPr>
              <w:t>Discretionary Housing Payment policy.</w:t>
            </w:r>
            <w:r w:rsidR="0030208D" w:rsidRPr="001356F1">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476"/>
      </w:tblGrid>
      <w:tr w:rsidR="00966D42" w:rsidRPr="00975B07" w:rsidTr="00D36B9D">
        <w:trPr>
          <w:trHeight w:val="232"/>
        </w:trPr>
        <w:tc>
          <w:tcPr>
            <w:tcW w:w="894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D36B9D">
        <w:trPr>
          <w:trHeight w:val="232"/>
        </w:trPr>
        <w:tc>
          <w:tcPr>
            <w:tcW w:w="2464"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76" w:type="dxa"/>
            <w:tcBorders>
              <w:top w:val="single" w:sz="8" w:space="0" w:color="000000"/>
              <w:left w:val="nil"/>
              <w:bottom w:val="nil"/>
              <w:right w:val="single" w:sz="8" w:space="0" w:color="000000"/>
            </w:tcBorders>
          </w:tcPr>
          <w:p w:rsidR="00ED5860" w:rsidRPr="001356F1" w:rsidRDefault="0064234F" w:rsidP="004A6D2F">
            <w:r>
              <w:t>Discretionary Housing Payment Policy</w:t>
            </w:r>
          </w:p>
        </w:tc>
      </w:tr>
      <w:tr w:rsidR="00ED5860" w:rsidRPr="00975B07" w:rsidTr="00D36B9D">
        <w:trPr>
          <w:trHeight w:val="222"/>
        </w:trPr>
        <w:tc>
          <w:tcPr>
            <w:tcW w:w="2464"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76" w:type="dxa"/>
            <w:tcBorders>
              <w:top w:val="nil"/>
              <w:left w:val="nil"/>
              <w:bottom w:val="nil"/>
              <w:right w:val="single" w:sz="8" w:space="0" w:color="000000"/>
            </w:tcBorders>
          </w:tcPr>
          <w:p w:rsidR="00ED5860" w:rsidRPr="001356F1" w:rsidRDefault="0064234F" w:rsidP="007E1003">
            <w:r>
              <w:t>Risk Register</w:t>
            </w:r>
          </w:p>
        </w:tc>
      </w:tr>
      <w:tr w:rsidR="0030208D" w:rsidRPr="00975B07" w:rsidTr="00D36B9D">
        <w:trPr>
          <w:trHeight w:val="232"/>
        </w:trPr>
        <w:tc>
          <w:tcPr>
            <w:tcW w:w="2464"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76" w:type="dxa"/>
            <w:tcBorders>
              <w:top w:val="nil"/>
              <w:left w:val="nil"/>
              <w:bottom w:val="nil"/>
              <w:right w:val="single" w:sz="8" w:space="0" w:color="000000"/>
            </w:tcBorders>
          </w:tcPr>
          <w:p w:rsidR="0030208D" w:rsidRPr="001356F1" w:rsidRDefault="00911EB1" w:rsidP="004A6D2F">
            <w:r>
              <w:t>Equalities Impact Assessment</w:t>
            </w:r>
          </w:p>
        </w:tc>
      </w:tr>
      <w:tr w:rsidR="0030208D" w:rsidRPr="00975B07" w:rsidTr="00D36B9D">
        <w:trPr>
          <w:trHeight w:val="54"/>
        </w:trPr>
        <w:tc>
          <w:tcPr>
            <w:tcW w:w="2464"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76" w:type="dxa"/>
            <w:tcBorders>
              <w:top w:val="nil"/>
              <w:left w:val="nil"/>
              <w:bottom w:val="single" w:sz="8" w:space="0" w:color="000000"/>
              <w:right w:val="single" w:sz="8" w:space="0" w:color="000000"/>
            </w:tcBorders>
          </w:tcPr>
          <w:p w:rsidR="0030208D" w:rsidRPr="001356F1" w:rsidRDefault="0030208D" w:rsidP="004A6D2F"/>
        </w:tc>
      </w:tr>
    </w:tbl>
    <w:p w:rsidR="00AD7DBC" w:rsidRDefault="00AD7DBC" w:rsidP="004A6D2F">
      <w:pPr>
        <w:pStyle w:val="Heading1"/>
      </w:pPr>
    </w:p>
    <w:p w:rsidR="00C11ACE" w:rsidRDefault="0064234F" w:rsidP="004A6D2F">
      <w:pPr>
        <w:pStyle w:val="Heading1"/>
      </w:pPr>
      <w:r>
        <w:t>Introduction and background</w:t>
      </w:r>
    </w:p>
    <w:p w:rsidR="0064234F" w:rsidRPr="001267E2"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t>On 12 June 2013 the City Executive Board (CEB) approved a new Discretionary Housing Payment (DHP) Policy. Th</w:t>
      </w:r>
      <w:r w:rsidR="00800257">
        <w:rPr>
          <w:rFonts w:eastAsiaTheme="minorHAnsi" w:cs="Arial"/>
          <w:color w:val="auto"/>
        </w:rPr>
        <w:t>e policy made significant changes to the way the Council administered DHP</w:t>
      </w:r>
      <w:r w:rsidR="00F75B1A">
        <w:rPr>
          <w:rFonts w:eastAsiaTheme="minorHAnsi" w:cs="Arial"/>
          <w:color w:val="auto"/>
        </w:rPr>
        <w:t>s</w:t>
      </w:r>
      <w:r w:rsidR="00800257">
        <w:rPr>
          <w:rFonts w:eastAsiaTheme="minorHAnsi" w:cs="Arial"/>
          <w:color w:val="auto"/>
        </w:rPr>
        <w:t>. The</w:t>
      </w:r>
      <w:r w:rsidRPr="00AC656D">
        <w:rPr>
          <w:rFonts w:eastAsiaTheme="minorHAnsi" w:cs="Arial"/>
          <w:color w:val="auto"/>
        </w:rPr>
        <w:t xml:space="preserve"> most significant change was </w:t>
      </w:r>
      <w:r w:rsidR="001267E2">
        <w:rPr>
          <w:rFonts w:eastAsiaTheme="minorHAnsi" w:cs="Arial"/>
          <w:color w:val="auto"/>
        </w:rPr>
        <w:t>that</w:t>
      </w:r>
      <w:r w:rsidRPr="00AC656D">
        <w:rPr>
          <w:rFonts w:eastAsiaTheme="minorHAnsi" w:cs="Arial"/>
          <w:color w:val="auto"/>
        </w:rPr>
        <w:t xml:space="preserve"> award</w:t>
      </w:r>
      <w:r w:rsidR="00C043CF">
        <w:rPr>
          <w:rFonts w:eastAsiaTheme="minorHAnsi" w:cs="Arial"/>
          <w:color w:val="auto"/>
        </w:rPr>
        <w:t xml:space="preserve">s would be subject to an agreed action plan to improve the </w:t>
      </w:r>
      <w:r w:rsidR="008A302B">
        <w:rPr>
          <w:rFonts w:eastAsiaTheme="minorHAnsi" w:cs="Arial"/>
          <w:color w:val="auto"/>
        </w:rPr>
        <w:t>applicant’s</w:t>
      </w:r>
      <w:r w:rsidR="00C043CF">
        <w:rPr>
          <w:rFonts w:eastAsiaTheme="minorHAnsi" w:cs="Arial"/>
          <w:color w:val="auto"/>
        </w:rPr>
        <w:t xml:space="preserve"> financial sustainability.</w:t>
      </w:r>
      <w:r w:rsidRPr="001267E2">
        <w:rPr>
          <w:rFonts w:eastAsiaTheme="minorHAnsi" w:cs="Arial"/>
          <w:color w:val="auto"/>
        </w:rPr>
        <w:t xml:space="preserve"> </w:t>
      </w:r>
      <w:r w:rsidR="00C626B7">
        <w:rPr>
          <w:rFonts w:eastAsiaTheme="minorHAnsi" w:cs="Arial"/>
          <w:color w:val="auto"/>
        </w:rPr>
        <w:t>A</w:t>
      </w:r>
      <w:r w:rsidRPr="001267E2">
        <w:rPr>
          <w:rFonts w:eastAsiaTheme="minorHAnsi" w:cs="Arial"/>
          <w:color w:val="auto"/>
        </w:rPr>
        <w:t xml:space="preserve">gainst a backdrop of significant welfare reform and consequent </w:t>
      </w:r>
      <w:r w:rsidRPr="001267E2">
        <w:rPr>
          <w:rFonts w:eastAsiaTheme="minorHAnsi" w:cs="Arial"/>
          <w:color w:val="auto"/>
        </w:rPr>
        <w:lastRenderedPageBreak/>
        <w:t>reductions in benefit entitlement</w:t>
      </w:r>
      <w:r w:rsidR="00C043CF">
        <w:rPr>
          <w:rFonts w:eastAsiaTheme="minorHAnsi" w:cs="Arial"/>
          <w:color w:val="auto"/>
        </w:rPr>
        <w:t>, this approach was introduced</w:t>
      </w:r>
      <w:r w:rsidR="00F26D0C">
        <w:rPr>
          <w:rFonts w:eastAsiaTheme="minorHAnsi" w:cs="Arial"/>
          <w:color w:val="auto"/>
        </w:rPr>
        <w:t xml:space="preserve"> </w:t>
      </w:r>
      <w:r w:rsidRPr="001267E2">
        <w:rPr>
          <w:rFonts w:eastAsiaTheme="minorHAnsi" w:cs="Arial"/>
          <w:color w:val="auto"/>
        </w:rPr>
        <w:t>to ensure that people being supported with DHP</w:t>
      </w:r>
      <w:r w:rsidR="00F330AF">
        <w:rPr>
          <w:rFonts w:eastAsiaTheme="minorHAnsi" w:cs="Arial"/>
          <w:color w:val="auto"/>
        </w:rPr>
        <w:t>s</w:t>
      </w:r>
      <w:r w:rsidRPr="001267E2">
        <w:rPr>
          <w:rFonts w:eastAsiaTheme="minorHAnsi" w:cs="Arial"/>
          <w:color w:val="auto"/>
        </w:rPr>
        <w:t xml:space="preserve"> were taking steps to find more sustainable solutions to their situation. Since 2013 the policy has been reviewed annually to help manage expenditure in line with changes to the DHP grant provided by the </w:t>
      </w:r>
      <w:r w:rsidR="00356079">
        <w:rPr>
          <w:rFonts w:eastAsiaTheme="minorHAnsi" w:cs="Arial"/>
          <w:color w:val="auto"/>
        </w:rPr>
        <w:t>G</w:t>
      </w:r>
      <w:r w:rsidRPr="001267E2">
        <w:rPr>
          <w:rFonts w:eastAsiaTheme="minorHAnsi" w:cs="Arial"/>
          <w:color w:val="auto"/>
        </w:rPr>
        <w:t>overnment.</w:t>
      </w:r>
      <w:r w:rsidR="00664F63">
        <w:rPr>
          <w:rFonts w:eastAsiaTheme="minorHAnsi" w:cs="Arial"/>
          <w:color w:val="auto"/>
        </w:rPr>
        <w:t xml:space="preserve"> </w:t>
      </w:r>
    </w:p>
    <w:p w:rsidR="0064234F" w:rsidRPr="00356079" w:rsidRDefault="0064234F" w:rsidP="00AC656D">
      <w:pPr>
        <w:pStyle w:val="ListParagraph"/>
        <w:numPr>
          <w:ilvl w:val="0"/>
          <w:numId w:val="35"/>
        </w:numPr>
        <w:spacing w:after="200" w:line="276" w:lineRule="auto"/>
        <w:rPr>
          <w:rFonts w:eastAsiaTheme="minorHAnsi" w:cs="Arial"/>
          <w:color w:val="auto"/>
        </w:rPr>
      </w:pPr>
      <w:r w:rsidRPr="00AC656D">
        <w:rPr>
          <w:rFonts w:eastAsiaTheme="minorHAnsi" w:cs="Arial"/>
          <w:color w:val="auto"/>
        </w:rPr>
        <w:t>Government funding for DHP</w:t>
      </w:r>
      <w:r w:rsidR="00530750">
        <w:rPr>
          <w:rFonts w:eastAsiaTheme="minorHAnsi" w:cs="Arial"/>
          <w:color w:val="auto"/>
        </w:rPr>
        <w:t>s</w:t>
      </w:r>
      <w:r w:rsidRPr="00AC656D">
        <w:rPr>
          <w:rFonts w:eastAsiaTheme="minorHAnsi" w:cs="Arial"/>
          <w:color w:val="auto"/>
        </w:rPr>
        <w:t xml:space="preserve"> has fluctuated in recent years. National funding was increased for 2013/14 and 2014/15 as a result of the introduction of the Benefit Cap and </w:t>
      </w:r>
      <w:proofErr w:type="gramStart"/>
      <w:r w:rsidRPr="00AC656D">
        <w:rPr>
          <w:rFonts w:eastAsiaTheme="minorHAnsi" w:cs="Arial"/>
          <w:color w:val="auto"/>
        </w:rPr>
        <w:t>the  Bedroom</w:t>
      </w:r>
      <w:proofErr w:type="gramEnd"/>
      <w:r w:rsidRPr="00AC656D">
        <w:rPr>
          <w:rFonts w:eastAsiaTheme="minorHAnsi" w:cs="Arial"/>
          <w:color w:val="auto"/>
        </w:rPr>
        <w:t xml:space="preserve"> Tax</w:t>
      </w:r>
      <w:r w:rsidR="00530750">
        <w:rPr>
          <w:rFonts w:eastAsiaTheme="minorHAnsi" w:cs="Arial"/>
          <w:color w:val="auto"/>
        </w:rPr>
        <w:t>.</w:t>
      </w:r>
      <w:r w:rsidRPr="00AC656D">
        <w:rPr>
          <w:rFonts w:eastAsiaTheme="minorHAnsi" w:cs="Arial"/>
          <w:color w:val="auto"/>
        </w:rPr>
        <w:t xml:space="preserve"> In 2015/16 funding reduced significantly, which saw Oxford’s grant reduce from £514,496 to £288,092. </w:t>
      </w:r>
      <w:r w:rsidR="00356079">
        <w:rPr>
          <w:rFonts w:eastAsiaTheme="minorHAnsi" w:cs="Arial"/>
          <w:color w:val="auto"/>
        </w:rPr>
        <w:t xml:space="preserve"> </w:t>
      </w:r>
      <w:r w:rsidRPr="00356079">
        <w:rPr>
          <w:rFonts w:eastAsiaTheme="minorHAnsi" w:cs="Arial"/>
          <w:color w:val="auto"/>
        </w:rPr>
        <w:t>Funding has increased for 2016/17</w:t>
      </w:r>
      <w:r w:rsidR="00664F63">
        <w:rPr>
          <w:rFonts w:eastAsiaTheme="minorHAnsi" w:cs="Arial"/>
          <w:color w:val="auto"/>
        </w:rPr>
        <w:t xml:space="preserve"> and 2017/18</w:t>
      </w:r>
      <w:r w:rsidRPr="00356079">
        <w:rPr>
          <w:rFonts w:eastAsiaTheme="minorHAnsi" w:cs="Arial"/>
          <w:color w:val="auto"/>
        </w:rPr>
        <w:t xml:space="preserve"> in response to the </w:t>
      </w:r>
      <w:r w:rsidR="00356079">
        <w:rPr>
          <w:rFonts w:eastAsiaTheme="minorHAnsi" w:cs="Arial"/>
          <w:color w:val="auto"/>
        </w:rPr>
        <w:t xml:space="preserve">further </w:t>
      </w:r>
      <w:r w:rsidRPr="00356079">
        <w:rPr>
          <w:rFonts w:eastAsiaTheme="minorHAnsi" w:cs="Arial"/>
          <w:color w:val="auto"/>
        </w:rPr>
        <w:t>lowering of the Benef</w:t>
      </w:r>
      <w:r w:rsidR="00664F63">
        <w:rPr>
          <w:rFonts w:eastAsiaTheme="minorHAnsi" w:cs="Arial"/>
          <w:color w:val="auto"/>
        </w:rPr>
        <w:t xml:space="preserve">it Cap from £26,000 to £20,000 </w:t>
      </w:r>
      <w:r w:rsidRPr="00356079">
        <w:rPr>
          <w:rFonts w:eastAsiaTheme="minorHAnsi" w:cs="Arial"/>
          <w:color w:val="auto"/>
        </w:rPr>
        <w:t>in</w:t>
      </w:r>
      <w:r w:rsidR="00664F63">
        <w:rPr>
          <w:rFonts w:eastAsiaTheme="minorHAnsi" w:cs="Arial"/>
          <w:color w:val="auto"/>
        </w:rPr>
        <w:t xml:space="preserve"> November 2016</w:t>
      </w:r>
      <w:r w:rsidRPr="00356079">
        <w:rPr>
          <w:rFonts w:eastAsiaTheme="minorHAnsi" w:cs="Arial"/>
          <w:color w:val="auto"/>
        </w:rPr>
        <w:t xml:space="preserve">. Oxford’s grant for </w:t>
      </w:r>
      <w:r w:rsidR="00664F63">
        <w:rPr>
          <w:rFonts w:eastAsiaTheme="minorHAnsi" w:cs="Arial"/>
          <w:color w:val="auto"/>
        </w:rPr>
        <w:t>2016/17 was</w:t>
      </w:r>
      <w:r w:rsidRPr="00356079">
        <w:rPr>
          <w:rFonts w:eastAsiaTheme="minorHAnsi" w:cs="Arial"/>
          <w:color w:val="auto"/>
        </w:rPr>
        <w:t xml:space="preserve"> £376,792</w:t>
      </w:r>
      <w:r w:rsidR="00664F63">
        <w:rPr>
          <w:rFonts w:eastAsiaTheme="minorHAnsi" w:cs="Arial"/>
          <w:color w:val="auto"/>
        </w:rPr>
        <w:t xml:space="preserve"> and for 2017/18 is £509,495</w:t>
      </w:r>
      <w:r w:rsidR="007D7BBA">
        <w:rPr>
          <w:rFonts w:eastAsiaTheme="minorHAnsi" w:cs="Arial"/>
          <w:color w:val="auto"/>
        </w:rPr>
        <w:t>.</w:t>
      </w:r>
      <w:r w:rsidRPr="00356079">
        <w:rPr>
          <w:rFonts w:eastAsiaTheme="minorHAnsi" w:cs="Arial"/>
          <w:color w:val="auto"/>
        </w:rPr>
        <w:t xml:space="preserve"> </w:t>
      </w:r>
    </w:p>
    <w:p w:rsidR="0064234F" w:rsidRDefault="0064234F" w:rsidP="00664F63">
      <w:pPr>
        <w:pStyle w:val="ListParagraph"/>
        <w:numPr>
          <w:ilvl w:val="0"/>
          <w:numId w:val="35"/>
        </w:numPr>
        <w:spacing w:after="200" w:line="276" w:lineRule="auto"/>
        <w:rPr>
          <w:rFonts w:eastAsiaTheme="minorHAnsi" w:cs="Arial"/>
          <w:color w:val="auto"/>
        </w:rPr>
      </w:pPr>
      <w:r w:rsidRPr="00356079">
        <w:rPr>
          <w:rFonts w:eastAsiaTheme="minorHAnsi" w:cs="Arial"/>
          <w:color w:val="auto"/>
        </w:rPr>
        <w:t xml:space="preserve"> </w:t>
      </w:r>
      <w:r w:rsidR="00664F63" w:rsidRPr="00664F63">
        <w:rPr>
          <w:rFonts w:eastAsiaTheme="minorHAnsi" w:cs="Arial"/>
          <w:color w:val="auto"/>
        </w:rPr>
        <w:t>The Welfare Reform Team have reviewed the existing policy in light of the wider rollout of Universal Credit</w:t>
      </w:r>
      <w:r w:rsidR="00972E0E">
        <w:rPr>
          <w:rFonts w:eastAsiaTheme="minorHAnsi" w:cs="Arial"/>
          <w:color w:val="auto"/>
        </w:rPr>
        <w:t xml:space="preserve"> (UC)</w:t>
      </w:r>
      <w:r w:rsidR="00664F63" w:rsidRPr="00664F63">
        <w:rPr>
          <w:rFonts w:eastAsiaTheme="minorHAnsi" w:cs="Arial"/>
          <w:color w:val="auto"/>
        </w:rPr>
        <w:t xml:space="preserve"> from October 2017, and</w:t>
      </w:r>
      <w:r w:rsidR="00963351">
        <w:rPr>
          <w:rFonts w:eastAsiaTheme="minorHAnsi" w:cs="Arial"/>
          <w:color w:val="auto"/>
        </w:rPr>
        <w:t xml:space="preserve"> in light of </w:t>
      </w:r>
      <w:r w:rsidR="00972E0E">
        <w:rPr>
          <w:rFonts w:eastAsiaTheme="minorHAnsi" w:cs="Arial"/>
          <w:color w:val="auto"/>
        </w:rPr>
        <w:t>amend</w:t>
      </w:r>
      <w:r w:rsidR="00963351">
        <w:rPr>
          <w:rFonts w:eastAsiaTheme="minorHAnsi" w:cs="Arial"/>
          <w:color w:val="auto"/>
        </w:rPr>
        <w:t xml:space="preserve">ments made </w:t>
      </w:r>
      <w:r w:rsidR="00972E0E">
        <w:rPr>
          <w:rFonts w:eastAsiaTheme="minorHAnsi" w:cs="Arial"/>
          <w:color w:val="auto"/>
        </w:rPr>
        <w:t xml:space="preserve">to </w:t>
      </w:r>
      <w:r w:rsidR="00944CEE">
        <w:rPr>
          <w:rFonts w:eastAsiaTheme="minorHAnsi" w:cs="Arial"/>
          <w:color w:val="auto"/>
        </w:rPr>
        <w:t xml:space="preserve">the policy in prior years to </w:t>
      </w:r>
      <w:r w:rsidR="00972E0E">
        <w:rPr>
          <w:rFonts w:eastAsiaTheme="minorHAnsi" w:cs="Arial"/>
          <w:color w:val="auto"/>
        </w:rPr>
        <w:t xml:space="preserve">take account </w:t>
      </w:r>
      <w:r w:rsidR="00963351">
        <w:rPr>
          <w:rFonts w:eastAsiaTheme="minorHAnsi" w:cs="Arial"/>
          <w:color w:val="auto"/>
        </w:rPr>
        <w:t xml:space="preserve">of </w:t>
      </w:r>
      <w:r w:rsidR="00972E0E">
        <w:rPr>
          <w:rFonts w:eastAsiaTheme="minorHAnsi" w:cs="Arial"/>
          <w:color w:val="auto"/>
        </w:rPr>
        <w:t xml:space="preserve">customers receiving their housing costs through UC, </w:t>
      </w:r>
      <w:r w:rsidR="00944CEE">
        <w:rPr>
          <w:rFonts w:eastAsiaTheme="minorHAnsi" w:cs="Arial"/>
          <w:color w:val="auto"/>
        </w:rPr>
        <w:t>it has been</w:t>
      </w:r>
      <w:r w:rsidR="00944CEE" w:rsidRPr="00944CEE">
        <w:rPr>
          <w:rFonts w:eastAsiaTheme="minorHAnsi" w:cs="Arial"/>
          <w:color w:val="auto"/>
        </w:rPr>
        <w:t xml:space="preserve"> </w:t>
      </w:r>
      <w:r w:rsidR="00944CEE" w:rsidRPr="00664F63">
        <w:rPr>
          <w:rFonts w:eastAsiaTheme="minorHAnsi" w:cs="Arial"/>
          <w:color w:val="auto"/>
        </w:rPr>
        <w:t xml:space="preserve">determined that no </w:t>
      </w:r>
      <w:r w:rsidR="00944CEE">
        <w:rPr>
          <w:rFonts w:eastAsiaTheme="minorHAnsi" w:cs="Arial"/>
          <w:color w:val="auto"/>
        </w:rPr>
        <w:t xml:space="preserve">additional </w:t>
      </w:r>
      <w:r w:rsidR="00944CEE" w:rsidRPr="00664F63">
        <w:rPr>
          <w:rFonts w:eastAsiaTheme="minorHAnsi" w:cs="Arial"/>
          <w:color w:val="auto"/>
        </w:rPr>
        <w:t>changes are</w:t>
      </w:r>
      <w:r w:rsidR="00944CEE">
        <w:rPr>
          <w:rFonts w:eastAsiaTheme="minorHAnsi" w:cs="Arial"/>
          <w:color w:val="auto"/>
        </w:rPr>
        <w:t xml:space="preserve"> currently </w:t>
      </w:r>
      <w:r w:rsidR="00944CEE" w:rsidRPr="00664F63">
        <w:rPr>
          <w:rFonts w:eastAsiaTheme="minorHAnsi" w:cs="Arial"/>
          <w:color w:val="auto"/>
        </w:rPr>
        <w:t>required</w:t>
      </w:r>
      <w:r w:rsidR="00972E0E">
        <w:rPr>
          <w:rFonts w:eastAsiaTheme="minorHAnsi" w:cs="Arial"/>
          <w:color w:val="auto"/>
        </w:rPr>
        <w:t xml:space="preserve">. UC is </w:t>
      </w:r>
      <w:r w:rsidR="00960664">
        <w:rPr>
          <w:rFonts w:eastAsiaTheme="minorHAnsi" w:cs="Arial"/>
          <w:color w:val="auto"/>
        </w:rPr>
        <w:t xml:space="preserve">however, </w:t>
      </w:r>
      <w:r w:rsidR="00972E0E">
        <w:rPr>
          <w:rFonts w:eastAsiaTheme="minorHAnsi" w:cs="Arial"/>
          <w:color w:val="auto"/>
        </w:rPr>
        <w:t>continually evolving and the policy will be kept under review as it develops</w:t>
      </w:r>
      <w:r w:rsidR="00960664" w:rsidRPr="00960664">
        <w:rPr>
          <w:rFonts w:eastAsiaTheme="minorHAnsi" w:cs="Arial"/>
          <w:color w:val="auto"/>
        </w:rPr>
        <w:t xml:space="preserve"> </w:t>
      </w:r>
      <w:r w:rsidR="00960664">
        <w:rPr>
          <w:rFonts w:eastAsiaTheme="minorHAnsi" w:cs="Arial"/>
          <w:color w:val="auto"/>
        </w:rPr>
        <w:t xml:space="preserve">to ensure it continues to </w:t>
      </w:r>
      <w:r w:rsidR="001D0D0E">
        <w:rPr>
          <w:rFonts w:eastAsiaTheme="minorHAnsi" w:cs="Arial"/>
          <w:color w:val="auto"/>
        </w:rPr>
        <w:t>c</w:t>
      </w:r>
      <w:r w:rsidR="00960664">
        <w:rPr>
          <w:rFonts w:eastAsiaTheme="minorHAnsi" w:cs="Arial"/>
          <w:color w:val="auto"/>
        </w:rPr>
        <w:t xml:space="preserve">ater adequately for customers.  </w:t>
      </w:r>
      <w:r w:rsidR="00963351" w:rsidRPr="00664F63">
        <w:rPr>
          <w:rFonts w:eastAsiaTheme="minorHAnsi" w:cs="Arial"/>
          <w:color w:val="auto"/>
        </w:rPr>
        <w:t xml:space="preserve"> </w:t>
      </w:r>
      <w:r w:rsidR="001D0D0E">
        <w:rPr>
          <w:rFonts w:eastAsiaTheme="minorHAnsi" w:cs="Arial"/>
          <w:color w:val="auto"/>
        </w:rPr>
        <w:t>It is therefore recommended that the</w:t>
      </w:r>
      <w:r w:rsidR="00664F63">
        <w:rPr>
          <w:rFonts w:eastAsiaTheme="minorHAnsi" w:cs="Arial"/>
          <w:color w:val="auto"/>
        </w:rPr>
        <w:t xml:space="preserve"> existing policy </w:t>
      </w:r>
      <w:r w:rsidR="001D0D0E">
        <w:rPr>
          <w:rFonts w:eastAsiaTheme="minorHAnsi" w:cs="Arial"/>
          <w:color w:val="auto"/>
        </w:rPr>
        <w:t>is maintained as set out in</w:t>
      </w:r>
      <w:r w:rsidRPr="00356079">
        <w:rPr>
          <w:rFonts w:eastAsiaTheme="minorHAnsi" w:cs="Arial"/>
          <w:color w:val="auto"/>
        </w:rPr>
        <w:t xml:space="preserve"> Appendix 1</w:t>
      </w:r>
      <w:r w:rsidR="00D36B9D">
        <w:rPr>
          <w:rFonts w:eastAsiaTheme="minorHAnsi" w:cs="Arial"/>
          <w:color w:val="auto"/>
        </w:rPr>
        <w:t>.</w:t>
      </w:r>
    </w:p>
    <w:p w:rsidR="00972E0E" w:rsidRPr="00342E16" w:rsidRDefault="00972E0E" w:rsidP="00664F63">
      <w:pPr>
        <w:pStyle w:val="ListParagraph"/>
        <w:numPr>
          <w:ilvl w:val="0"/>
          <w:numId w:val="35"/>
        </w:numPr>
        <w:spacing w:after="200" w:line="276" w:lineRule="auto"/>
        <w:rPr>
          <w:rFonts w:eastAsiaTheme="minorHAnsi" w:cs="Arial"/>
          <w:color w:val="auto"/>
        </w:rPr>
      </w:pPr>
      <w:r>
        <w:rPr>
          <w:rFonts w:eastAsiaTheme="minorHAnsi" w:cs="Arial"/>
          <w:color w:val="auto"/>
        </w:rPr>
        <w:t xml:space="preserve">One of the challenges of UC is that customers migrating to </w:t>
      </w:r>
      <w:r w:rsidR="002C4F8A">
        <w:rPr>
          <w:rFonts w:eastAsiaTheme="minorHAnsi" w:cs="Arial"/>
          <w:color w:val="auto"/>
        </w:rPr>
        <w:t xml:space="preserve">it </w:t>
      </w:r>
      <w:r>
        <w:rPr>
          <w:rFonts w:eastAsiaTheme="minorHAnsi" w:cs="Arial"/>
          <w:color w:val="auto"/>
        </w:rPr>
        <w:t>will not receive a payment for a minimum period of six weeks</w:t>
      </w:r>
      <w:r w:rsidR="00CD0DDD">
        <w:rPr>
          <w:rFonts w:eastAsiaTheme="minorHAnsi" w:cs="Arial"/>
          <w:color w:val="auto"/>
        </w:rPr>
        <w:t xml:space="preserve">. </w:t>
      </w:r>
      <w:r w:rsidR="00CD0DDD" w:rsidRPr="00A93FEB">
        <w:rPr>
          <w:rFonts w:eastAsiaTheme="minorHAnsi" w:cs="Arial"/>
          <w:b/>
          <w:color w:val="auto"/>
        </w:rPr>
        <w:t xml:space="preserve">Members should note that DHP cannot be paid in this period. </w:t>
      </w:r>
      <w:r w:rsidR="00CD0DDD">
        <w:rPr>
          <w:rFonts w:eastAsiaTheme="minorHAnsi" w:cs="Arial"/>
          <w:color w:val="auto"/>
        </w:rPr>
        <w:t>This is because DHP can only be paid where the customer is in receipt of either Housing Benefit, or the Housing Cost Element of UC.</w:t>
      </w:r>
    </w:p>
    <w:p w:rsidR="008270C9" w:rsidRPr="00342E16" w:rsidRDefault="0064234F" w:rsidP="00342E16">
      <w:pPr>
        <w:spacing w:after="200" w:line="276" w:lineRule="auto"/>
        <w:rPr>
          <w:rFonts w:eastAsiaTheme="minorHAnsi" w:cs="Arial"/>
          <w:b/>
          <w:color w:val="auto"/>
        </w:rPr>
      </w:pPr>
      <w:r w:rsidRPr="00342E16">
        <w:rPr>
          <w:rFonts w:eastAsiaTheme="minorHAnsi" w:cs="Arial"/>
          <w:b/>
          <w:color w:val="auto"/>
        </w:rPr>
        <w:t>Expenditure</w:t>
      </w:r>
    </w:p>
    <w:p w:rsidR="0064234F" w:rsidRDefault="0064234F" w:rsidP="00342E16">
      <w:pPr>
        <w:pStyle w:val="ListParagraph"/>
        <w:numPr>
          <w:ilvl w:val="0"/>
          <w:numId w:val="35"/>
        </w:numPr>
        <w:spacing w:after="200" w:line="276" w:lineRule="auto"/>
        <w:rPr>
          <w:rFonts w:eastAsiaTheme="minorHAnsi" w:cs="Arial"/>
          <w:color w:val="auto"/>
        </w:rPr>
      </w:pPr>
      <w:r w:rsidRPr="00342E16">
        <w:rPr>
          <w:rFonts w:eastAsiaTheme="minorHAnsi" w:cs="Arial"/>
          <w:color w:val="auto"/>
        </w:rPr>
        <w:t>The table below summarises DHP expenditure since 2013.</w:t>
      </w:r>
    </w:p>
    <w:p w:rsidR="007D7BBA" w:rsidRPr="008A302B" w:rsidRDefault="007D7BBA" w:rsidP="00CD0DDD">
      <w:pPr>
        <w:spacing w:after="200" w:line="276" w:lineRule="auto"/>
        <w:ind w:left="360"/>
        <w:rPr>
          <w:rFonts w:eastAsiaTheme="minorHAnsi" w:cs="Arial"/>
          <w:b/>
          <w:color w:val="auto"/>
        </w:rPr>
      </w:pPr>
      <w:r w:rsidRPr="008A302B">
        <w:rPr>
          <w:rFonts w:eastAsiaTheme="minorHAnsi" w:cs="Arial"/>
          <w:b/>
          <w:color w:val="auto"/>
        </w:rPr>
        <w:t>Table 1</w:t>
      </w:r>
      <w:r w:rsidR="00CD0DDD">
        <w:rPr>
          <w:rFonts w:eastAsiaTheme="minorHAnsi" w:cs="Arial"/>
          <w:b/>
          <w:color w:val="auto"/>
        </w:rPr>
        <w:t xml:space="preserve"> – Annual Expenditure since 2013/15</w:t>
      </w:r>
    </w:p>
    <w:tbl>
      <w:tblPr>
        <w:tblStyle w:val="TableGrid1"/>
        <w:tblW w:w="0" w:type="auto"/>
        <w:tblInd w:w="728" w:type="dxa"/>
        <w:tblLook w:val="04A0" w:firstRow="1" w:lastRow="0" w:firstColumn="1" w:lastColumn="0" w:noHBand="0" w:noVBand="1"/>
        <w:tblCaption w:val="Table 1"/>
      </w:tblPr>
      <w:tblGrid>
        <w:gridCol w:w="1460"/>
        <w:gridCol w:w="2342"/>
        <w:gridCol w:w="2969"/>
      </w:tblGrid>
      <w:tr w:rsidR="0064234F" w:rsidRPr="00AC656D" w:rsidTr="00D62E53">
        <w:trPr>
          <w:trHeight w:val="458"/>
        </w:trPr>
        <w:tc>
          <w:tcPr>
            <w:tcW w:w="1460" w:type="dxa"/>
          </w:tcPr>
          <w:p w:rsidR="0064234F" w:rsidRPr="000020F1" w:rsidRDefault="0064234F" w:rsidP="00CD0DDD">
            <w:pPr>
              <w:jc w:val="right"/>
            </w:pPr>
            <w:r w:rsidRPr="000020F1">
              <w:t>Year</w:t>
            </w:r>
          </w:p>
        </w:tc>
        <w:tc>
          <w:tcPr>
            <w:tcW w:w="2342" w:type="dxa"/>
          </w:tcPr>
          <w:p w:rsidR="0064234F" w:rsidRPr="000020F1" w:rsidRDefault="0064234F" w:rsidP="00CD0DDD">
            <w:pPr>
              <w:jc w:val="right"/>
            </w:pPr>
            <w:r w:rsidRPr="000020F1">
              <w:t>Expenditure</w:t>
            </w:r>
          </w:p>
        </w:tc>
        <w:tc>
          <w:tcPr>
            <w:tcW w:w="2969" w:type="dxa"/>
          </w:tcPr>
          <w:p w:rsidR="0064234F" w:rsidRPr="00AC656D" w:rsidRDefault="0064234F" w:rsidP="00CD0DDD">
            <w:pPr>
              <w:jc w:val="right"/>
            </w:pPr>
            <w:r w:rsidRPr="00AC656D">
              <w:t>Percentage of Grant</w:t>
            </w:r>
          </w:p>
        </w:tc>
      </w:tr>
      <w:tr w:rsidR="0064234F" w:rsidRPr="00AC656D" w:rsidTr="00D62E53">
        <w:trPr>
          <w:trHeight w:val="458"/>
        </w:trPr>
        <w:tc>
          <w:tcPr>
            <w:tcW w:w="1460" w:type="dxa"/>
          </w:tcPr>
          <w:p w:rsidR="0064234F" w:rsidRPr="00AC656D" w:rsidRDefault="008270C9" w:rsidP="00CD0DDD">
            <w:pPr>
              <w:jc w:val="right"/>
            </w:pPr>
            <w:r w:rsidRPr="00AC656D">
              <w:t>2</w:t>
            </w:r>
            <w:r w:rsidR="0064234F" w:rsidRPr="00AC656D">
              <w:t>013/14</w:t>
            </w:r>
          </w:p>
        </w:tc>
        <w:tc>
          <w:tcPr>
            <w:tcW w:w="2342" w:type="dxa"/>
          </w:tcPr>
          <w:p w:rsidR="0064234F" w:rsidRPr="00AC656D" w:rsidRDefault="0064234F" w:rsidP="00CD0DDD">
            <w:pPr>
              <w:jc w:val="right"/>
            </w:pPr>
            <w:r w:rsidRPr="00AC656D">
              <w:t>£431,244</w:t>
            </w:r>
          </w:p>
        </w:tc>
        <w:tc>
          <w:tcPr>
            <w:tcW w:w="2969" w:type="dxa"/>
          </w:tcPr>
          <w:p w:rsidR="0064234F" w:rsidRPr="00AC656D" w:rsidRDefault="0064234F" w:rsidP="00CD0DDD">
            <w:pPr>
              <w:jc w:val="right"/>
            </w:pPr>
            <w:r w:rsidRPr="00AC656D">
              <w:t>82%</w:t>
            </w:r>
          </w:p>
        </w:tc>
      </w:tr>
      <w:tr w:rsidR="0064234F" w:rsidRPr="00AC656D" w:rsidTr="00D62E53">
        <w:trPr>
          <w:trHeight w:val="458"/>
        </w:trPr>
        <w:tc>
          <w:tcPr>
            <w:tcW w:w="1460" w:type="dxa"/>
          </w:tcPr>
          <w:p w:rsidR="0064234F" w:rsidRPr="00AC656D" w:rsidRDefault="0064234F" w:rsidP="00CD0DDD">
            <w:pPr>
              <w:jc w:val="right"/>
            </w:pPr>
            <w:r w:rsidRPr="00AC656D">
              <w:t>2014/15</w:t>
            </w:r>
          </w:p>
        </w:tc>
        <w:tc>
          <w:tcPr>
            <w:tcW w:w="2342" w:type="dxa"/>
          </w:tcPr>
          <w:p w:rsidR="0064234F" w:rsidRPr="00AC656D" w:rsidRDefault="0064234F" w:rsidP="00CD0DDD">
            <w:pPr>
              <w:jc w:val="right"/>
            </w:pPr>
            <w:r w:rsidRPr="00AC656D">
              <w:t>£476,147</w:t>
            </w:r>
          </w:p>
        </w:tc>
        <w:tc>
          <w:tcPr>
            <w:tcW w:w="2969" w:type="dxa"/>
          </w:tcPr>
          <w:p w:rsidR="0064234F" w:rsidRPr="00AC656D" w:rsidRDefault="0064234F" w:rsidP="00CD0DDD">
            <w:pPr>
              <w:jc w:val="right"/>
            </w:pPr>
            <w:r w:rsidRPr="00AC656D">
              <w:t>92%</w:t>
            </w:r>
          </w:p>
        </w:tc>
      </w:tr>
      <w:tr w:rsidR="0064234F" w:rsidRPr="00AC656D" w:rsidTr="00D62E53">
        <w:trPr>
          <w:trHeight w:val="493"/>
        </w:trPr>
        <w:tc>
          <w:tcPr>
            <w:tcW w:w="1460" w:type="dxa"/>
          </w:tcPr>
          <w:p w:rsidR="0064234F" w:rsidRPr="00AC656D" w:rsidRDefault="0064234F" w:rsidP="00CD0DDD">
            <w:pPr>
              <w:jc w:val="right"/>
            </w:pPr>
            <w:r w:rsidRPr="00AC656D">
              <w:t>2015/16</w:t>
            </w:r>
          </w:p>
        </w:tc>
        <w:tc>
          <w:tcPr>
            <w:tcW w:w="2342" w:type="dxa"/>
          </w:tcPr>
          <w:p w:rsidR="0064234F" w:rsidRPr="00AC656D" w:rsidRDefault="0064234F" w:rsidP="00CD0DDD">
            <w:pPr>
              <w:jc w:val="right"/>
            </w:pPr>
            <w:r w:rsidRPr="00AC656D">
              <w:t>£270,</w:t>
            </w:r>
            <w:r w:rsidR="00147352">
              <w:t>505</w:t>
            </w:r>
          </w:p>
        </w:tc>
        <w:tc>
          <w:tcPr>
            <w:tcW w:w="2969" w:type="dxa"/>
          </w:tcPr>
          <w:p w:rsidR="0064234F" w:rsidRPr="00AC656D" w:rsidRDefault="0064234F" w:rsidP="00CD0DDD">
            <w:pPr>
              <w:jc w:val="right"/>
            </w:pPr>
            <w:r w:rsidRPr="00AC656D">
              <w:t>94%</w:t>
            </w:r>
          </w:p>
        </w:tc>
      </w:tr>
      <w:tr w:rsidR="00664F63" w:rsidRPr="00AC656D" w:rsidTr="00D62E53">
        <w:trPr>
          <w:trHeight w:val="493"/>
        </w:trPr>
        <w:tc>
          <w:tcPr>
            <w:tcW w:w="1460" w:type="dxa"/>
          </w:tcPr>
          <w:p w:rsidR="00664F63" w:rsidRPr="00AC656D" w:rsidRDefault="00664F63" w:rsidP="00CD0DDD">
            <w:pPr>
              <w:jc w:val="right"/>
            </w:pPr>
            <w:r>
              <w:t>2016/17</w:t>
            </w:r>
          </w:p>
        </w:tc>
        <w:tc>
          <w:tcPr>
            <w:tcW w:w="2342" w:type="dxa"/>
          </w:tcPr>
          <w:p w:rsidR="00664F63" w:rsidRPr="00AC656D" w:rsidRDefault="00147352" w:rsidP="00CD0DDD">
            <w:pPr>
              <w:jc w:val="right"/>
            </w:pPr>
            <w:r>
              <w:t>£379,009</w:t>
            </w:r>
          </w:p>
        </w:tc>
        <w:tc>
          <w:tcPr>
            <w:tcW w:w="2969" w:type="dxa"/>
          </w:tcPr>
          <w:p w:rsidR="00664F63" w:rsidRPr="00AC656D" w:rsidRDefault="00BB7DB2" w:rsidP="00CD0DDD">
            <w:pPr>
              <w:jc w:val="right"/>
            </w:pPr>
            <w:r>
              <w:t>101%</w:t>
            </w:r>
          </w:p>
        </w:tc>
      </w:tr>
      <w:tr w:rsidR="00664F63" w:rsidRPr="00AC656D" w:rsidTr="00D62E53">
        <w:trPr>
          <w:trHeight w:val="493"/>
        </w:trPr>
        <w:tc>
          <w:tcPr>
            <w:tcW w:w="1460" w:type="dxa"/>
          </w:tcPr>
          <w:p w:rsidR="00664F63" w:rsidRPr="00AC656D" w:rsidRDefault="00664F63" w:rsidP="00CD0DDD">
            <w:pPr>
              <w:jc w:val="right"/>
            </w:pPr>
            <w:r>
              <w:t>2017/18</w:t>
            </w:r>
          </w:p>
        </w:tc>
        <w:tc>
          <w:tcPr>
            <w:tcW w:w="2342" w:type="dxa"/>
          </w:tcPr>
          <w:p w:rsidR="00664F63" w:rsidRPr="00AC656D" w:rsidRDefault="00BB7DB2" w:rsidP="00CD0DDD">
            <w:pPr>
              <w:jc w:val="right"/>
            </w:pPr>
            <w:r>
              <w:t>£247,190</w:t>
            </w:r>
          </w:p>
        </w:tc>
        <w:tc>
          <w:tcPr>
            <w:tcW w:w="2969" w:type="dxa"/>
          </w:tcPr>
          <w:p w:rsidR="00664F63" w:rsidRPr="00AC656D" w:rsidRDefault="00BB7DB2" w:rsidP="00CD0DDD">
            <w:pPr>
              <w:jc w:val="right"/>
            </w:pPr>
            <w:r>
              <w:t>49%</w:t>
            </w:r>
            <w:r w:rsidR="009B2F24">
              <w:t>*</w:t>
            </w:r>
          </w:p>
        </w:tc>
      </w:tr>
    </w:tbl>
    <w:p w:rsidR="0064234F" w:rsidRPr="00AC656D" w:rsidRDefault="00D62E53" w:rsidP="00CD0DDD">
      <w:pPr>
        <w:spacing w:after="200" w:line="276" w:lineRule="auto"/>
        <w:ind w:firstLine="60"/>
        <w:rPr>
          <w:rFonts w:eastAsiaTheme="minorHAnsi" w:cs="Arial"/>
          <w:color w:val="auto"/>
        </w:rPr>
      </w:pPr>
      <w:r w:rsidRPr="00AC656D">
        <w:rPr>
          <w:rFonts w:eastAsiaTheme="minorHAnsi" w:cs="Arial"/>
          <w:color w:val="auto"/>
        </w:rPr>
        <w:tab/>
        <w:t>*</w:t>
      </w:r>
      <w:r w:rsidR="00664F63">
        <w:rPr>
          <w:rFonts w:eastAsiaTheme="minorHAnsi" w:cs="Arial"/>
          <w:color w:val="auto"/>
        </w:rPr>
        <w:t>expenditure at the end of August</w:t>
      </w:r>
    </w:p>
    <w:p w:rsidR="009960AA" w:rsidRDefault="009960AA" w:rsidP="00BB7DB2">
      <w:pPr>
        <w:pStyle w:val="ListParagraph"/>
        <w:numPr>
          <w:ilvl w:val="0"/>
          <w:numId w:val="35"/>
        </w:numPr>
        <w:spacing w:after="200" w:line="276" w:lineRule="auto"/>
        <w:rPr>
          <w:rFonts w:eastAsiaTheme="minorHAnsi" w:cs="Arial"/>
          <w:color w:val="auto"/>
        </w:rPr>
      </w:pPr>
      <w:r>
        <w:rPr>
          <w:rFonts w:eastAsiaTheme="minorHAnsi" w:cs="Arial"/>
          <w:color w:val="auto"/>
        </w:rPr>
        <w:lastRenderedPageBreak/>
        <w:t xml:space="preserve">In 2016/17, </w:t>
      </w:r>
      <w:r w:rsidR="00BB7DB2">
        <w:rPr>
          <w:rFonts w:eastAsiaTheme="minorHAnsi" w:cs="Arial"/>
          <w:color w:val="auto"/>
        </w:rPr>
        <w:t>721</w:t>
      </w:r>
      <w:r w:rsidR="0064234F" w:rsidRPr="00AC656D">
        <w:rPr>
          <w:rFonts w:eastAsiaTheme="minorHAnsi" w:cs="Arial"/>
          <w:color w:val="auto"/>
        </w:rPr>
        <w:t xml:space="preserve"> applications for DHP were made</w:t>
      </w:r>
      <w:r>
        <w:rPr>
          <w:rFonts w:eastAsiaTheme="minorHAnsi" w:cs="Arial"/>
          <w:color w:val="auto"/>
        </w:rPr>
        <w:t xml:space="preserve"> by 530 separate customers</w:t>
      </w:r>
      <w:r w:rsidR="00AD7DBC">
        <w:rPr>
          <w:rFonts w:eastAsiaTheme="minorHAnsi" w:cs="Arial"/>
          <w:color w:val="auto"/>
        </w:rPr>
        <w:t>, o</w:t>
      </w:r>
      <w:r>
        <w:rPr>
          <w:rFonts w:eastAsiaTheme="minorHAnsi" w:cs="Arial"/>
          <w:color w:val="auto"/>
        </w:rPr>
        <w:t xml:space="preserve">f </w:t>
      </w:r>
      <w:r w:rsidR="00AD7DBC">
        <w:rPr>
          <w:rFonts w:eastAsiaTheme="minorHAnsi" w:cs="Arial"/>
          <w:color w:val="auto"/>
        </w:rPr>
        <w:t>which</w:t>
      </w:r>
      <w:r>
        <w:rPr>
          <w:rFonts w:eastAsiaTheme="minorHAnsi" w:cs="Arial"/>
          <w:color w:val="auto"/>
        </w:rPr>
        <w:t xml:space="preserve"> </w:t>
      </w:r>
      <w:r w:rsidR="00BB7DB2">
        <w:rPr>
          <w:rFonts w:eastAsiaTheme="minorHAnsi" w:cs="Arial"/>
          <w:color w:val="auto"/>
        </w:rPr>
        <w:t>521</w:t>
      </w:r>
      <w:r w:rsidR="009B2F24">
        <w:rPr>
          <w:rFonts w:eastAsiaTheme="minorHAnsi" w:cs="Arial"/>
          <w:color w:val="auto"/>
        </w:rPr>
        <w:t xml:space="preserve"> (72%)</w:t>
      </w:r>
      <w:r w:rsidR="0064234F" w:rsidRPr="00AC656D">
        <w:rPr>
          <w:rFonts w:eastAsiaTheme="minorHAnsi" w:cs="Arial"/>
          <w:color w:val="auto"/>
        </w:rPr>
        <w:t xml:space="preserve"> were successful. </w:t>
      </w:r>
      <w:r w:rsidR="00D36B9D">
        <w:rPr>
          <w:rFonts w:eastAsiaTheme="minorHAnsi" w:cs="Arial"/>
          <w:color w:val="auto"/>
        </w:rPr>
        <w:t>I</w:t>
      </w:r>
      <w:r w:rsidR="00AD7DBC">
        <w:rPr>
          <w:rFonts w:eastAsiaTheme="minorHAnsi" w:cs="Arial"/>
          <w:color w:val="auto"/>
        </w:rPr>
        <w:t>n 2017/18</w:t>
      </w:r>
      <w:r w:rsidR="00D36B9D">
        <w:rPr>
          <w:rFonts w:eastAsiaTheme="minorHAnsi" w:cs="Arial"/>
          <w:color w:val="auto"/>
        </w:rPr>
        <w:t xml:space="preserve"> </w:t>
      </w:r>
      <w:r w:rsidR="0032331A">
        <w:rPr>
          <w:rFonts w:eastAsiaTheme="minorHAnsi" w:cs="Arial"/>
          <w:color w:val="auto"/>
        </w:rPr>
        <w:t>to date</w:t>
      </w:r>
      <w:r w:rsidR="00AD7DBC">
        <w:rPr>
          <w:rFonts w:eastAsiaTheme="minorHAnsi" w:cs="Arial"/>
          <w:color w:val="auto"/>
        </w:rPr>
        <w:t>,</w:t>
      </w:r>
      <w:r>
        <w:rPr>
          <w:rFonts w:eastAsiaTheme="minorHAnsi" w:cs="Arial"/>
          <w:color w:val="auto"/>
        </w:rPr>
        <w:t xml:space="preserve"> 388 applications have been made from 310 customers, of which 313</w:t>
      </w:r>
      <w:r w:rsidR="009B2F24">
        <w:rPr>
          <w:rFonts w:eastAsiaTheme="minorHAnsi" w:cs="Arial"/>
          <w:color w:val="auto"/>
        </w:rPr>
        <w:t xml:space="preserve"> (81%)</w:t>
      </w:r>
      <w:r>
        <w:rPr>
          <w:rFonts w:eastAsiaTheme="minorHAnsi" w:cs="Arial"/>
          <w:color w:val="auto"/>
        </w:rPr>
        <w:t xml:space="preserve"> have been successful.</w:t>
      </w:r>
      <w:r w:rsidR="0064234F" w:rsidRPr="00AC656D">
        <w:rPr>
          <w:rFonts w:eastAsiaTheme="minorHAnsi" w:cs="Arial"/>
          <w:color w:val="auto"/>
        </w:rPr>
        <w:t xml:space="preserve"> </w:t>
      </w:r>
    </w:p>
    <w:p w:rsidR="0064234F" w:rsidRPr="00AC656D" w:rsidRDefault="00BB7DB2" w:rsidP="00BB7DB2">
      <w:pPr>
        <w:pStyle w:val="ListParagraph"/>
        <w:numPr>
          <w:ilvl w:val="0"/>
          <w:numId w:val="35"/>
        </w:numPr>
        <w:spacing w:after="200" w:line="276" w:lineRule="auto"/>
        <w:rPr>
          <w:rFonts w:eastAsiaTheme="minorHAnsi" w:cs="Arial"/>
          <w:color w:val="auto"/>
        </w:rPr>
      </w:pPr>
      <w:r w:rsidRPr="00BB7DB2">
        <w:rPr>
          <w:rFonts w:eastAsiaTheme="minorHAnsi" w:cs="Arial"/>
          <w:color w:val="auto"/>
        </w:rPr>
        <w:t xml:space="preserve">Of the awards made </w:t>
      </w:r>
      <w:r w:rsidR="0032331A">
        <w:rPr>
          <w:rFonts w:eastAsiaTheme="minorHAnsi" w:cs="Arial"/>
          <w:color w:val="auto"/>
        </w:rPr>
        <w:t xml:space="preserve">in </w:t>
      </w:r>
      <w:r w:rsidR="006A335C">
        <w:rPr>
          <w:rFonts w:eastAsiaTheme="minorHAnsi" w:cs="Arial"/>
          <w:color w:val="auto"/>
        </w:rPr>
        <w:t>2016/17</w:t>
      </w:r>
      <w:r w:rsidRPr="00BB7DB2">
        <w:rPr>
          <w:rFonts w:eastAsiaTheme="minorHAnsi" w:cs="Arial"/>
          <w:color w:val="auto"/>
        </w:rPr>
        <w:t xml:space="preserve">, 38 </w:t>
      </w:r>
      <w:r w:rsidR="006A335C">
        <w:rPr>
          <w:rFonts w:eastAsiaTheme="minorHAnsi" w:cs="Arial"/>
          <w:color w:val="auto"/>
        </w:rPr>
        <w:t>were</w:t>
      </w:r>
      <w:r w:rsidRPr="00BB7DB2">
        <w:rPr>
          <w:rFonts w:eastAsiaTheme="minorHAnsi" w:cs="Arial"/>
          <w:color w:val="auto"/>
        </w:rPr>
        <w:t xml:space="preserve"> to customers who had been in receipt of DHP for more than a year. Of these customers 17 have been in receipt of DHP for more than two years. This is a significant reduction on the equivalent figures for 2015/16 when 149 awards </w:t>
      </w:r>
      <w:r w:rsidR="008D3F58">
        <w:rPr>
          <w:rFonts w:eastAsiaTheme="minorHAnsi" w:cs="Arial"/>
          <w:color w:val="auto"/>
        </w:rPr>
        <w:t xml:space="preserve">were </w:t>
      </w:r>
      <w:r w:rsidRPr="00BB7DB2">
        <w:rPr>
          <w:rFonts w:eastAsiaTheme="minorHAnsi" w:cs="Arial"/>
          <w:color w:val="auto"/>
        </w:rPr>
        <w:t>made to customers who had been in receipt of DHP for over a year. This reflects the positive outcomes that customers have been able to achieve whilst engaged with the Welfare Reform Team.</w:t>
      </w:r>
      <w:r>
        <w:rPr>
          <w:rFonts w:eastAsiaTheme="minorHAnsi" w:cs="Arial"/>
          <w:color w:val="auto"/>
        </w:rPr>
        <w:t xml:space="preserve"> Those in receipt of DHP for longer periods of time </w:t>
      </w:r>
      <w:r w:rsidR="0064234F" w:rsidRPr="00AC656D">
        <w:rPr>
          <w:rFonts w:eastAsiaTheme="minorHAnsi" w:cs="Arial"/>
          <w:color w:val="auto"/>
        </w:rPr>
        <w:t>tend to be customers with more complex needs, or those with no practical options to change their circumstances.</w:t>
      </w:r>
    </w:p>
    <w:p w:rsidR="0064234F" w:rsidRDefault="009960AA" w:rsidP="0039716A">
      <w:pPr>
        <w:pStyle w:val="ListParagraph"/>
        <w:numPr>
          <w:ilvl w:val="0"/>
          <w:numId w:val="35"/>
        </w:numPr>
        <w:spacing w:after="200" w:line="276" w:lineRule="auto"/>
        <w:rPr>
          <w:rFonts w:eastAsiaTheme="minorHAnsi" w:cs="Arial"/>
          <w:color w:val="auto"/>
        </w:rPr>
      </w:pPr>
      <w:r>
        <w:rPr>
          <w:rFonts w:eastAsiaTheme="minorHAnsi" w:cs="Arial"/>
          <w:color w:val="auto"/>
        </w:rPr>
        <w:t>194</w:t>
      </w:r>
      <w:r w:rsidR="0064234F" w:rsidRPr="00AC656D">
        <w:rPr>
          <w:rFonts w:eastAsiaTheme="minorHAnsi" w:cs="Arial"/>
          <w:color w:val="auto"/>
        </w:rPr>
        <w:t xml:space="preserve"> applications were turned down </w:t>
      </w:r>
      <w:r w:rsidR="0039716A">
        <w:rPr>
          <w:rFonts w:eastAsiaTheme="minorHAnsi" w:cs="Arial"/>
          <w:color w:val="auto"/>
        </w:rPr>
        <w:t xml:space="preserve">in </w:t>
      </w:r>
      <w:r>
        <w:rPr>
          <w:rFonts w:eastAsiaTheme="minorHAnsi" w:cs="Arial"/>
          <w:color w:val="auto"/>
        </w:rPr>
        <w:t>2016/17</w:t>
      </w:r>
      <w:r w:rsidR="0039716A">
        <w:rPr>
          <w:rFonts w:eastAsiaTheme="minorHAnsi" w:cs="Arial"/>
          <w:color w:val="auto"/>
        </w:rPr>
        <w:t xml:space="preserve"> and 75 so far in 2017/18</w:t>
      </w:r>
      <w:r w:rsidR="0064234F" w:rsidRPr="00AC656D">
        <w:rPr>
          <w:rFonts w:eastAsiaTheme="minorHAnsi" w:cs="Arial"/>
          <w:color w:val="auto"/>
        </w:rPr>
        <w:t xml:space="preserve">. </w:t>
      </w:r>
      <w:r w:rsidR="0039716A">
        <w:rPr>
          <w:rFonts w:eastAsiaTheme="minorHAnsi" w:cs="Arial"/>
          <w:color w:val="auto"/>
        </w:rPr>
        <w:t>T</w:t>
      </w:r>
      <w:r w:rsidR="0039716A" w:rsidRPr="0039716A">
        <w:rPr>
          <w:rFonts w:eastAsiaTheme="minorHAnsi" w:cs="Arial"/>
          <w:color w:val="auto"/>
        </w:rPr>
        <w:t>he most common reason for turning down applications</w:t>
      </w:r>
      <w:r w:rsidR="0039716A">
        <w:rPr>
          <w:rFonts w:eastAsiaTheme="minorHAnsi" w:cs="Arial"/>
          <w:color w:val="auto"/>
        </w:rPr>
        <w:t xml:space="preserve"> </w:t>
      </w:r>
      <w:r w:rsidR="00534753">
        <w:rPr>
          <w:rFonts w:eastAsiaTheme="minorHAnsi" w:cs="Arial"/>
          <w:color w:val="auto"/>
        </w:rPr>
        <w:t>over</w:t>
      </w:r>
      <w:r w:rsidR="0039716A">
        <w:rPr>
          <w:rFonts w:eastAsiaTheme="minorHAnsi" w:cs="Arial"/>
          <w:color w:val="auto"/>
        </w:rPr>
        <w:t xml:space="preserve"> the two years</w:t>
      </w:r>
      <w:r w:rsidR="0039716A" w:rsidRPr="0039716A">
        <w:rPr>
          <w:rFonts w:eastAsiaTheme="minorHAnsi" w:cs="Arial"/>
          <w:color w:val="auto"/>
        </w:rPr>
        <w:t xml:space="preserve"> is that applications do not meet the DHP policy criteria, </w:t>
      </w:r>
      <w:r w:rsidR="00534753">
        <w:rPr>
          <w:rFonts w:eastAsiaTheme="minorHAnsi" w:cs="Arial"/>
          <w:color w:val="auto"/>
        </w:rPr>
        <w:t>(</w:t>
      </w:r>
      <w:r w:rsidR="0039716A">
        <w:rPr>
          <w:rFonts w:eastAsiaTheme="minorHAnsi" w:cs="Arial"/>
          <w:color w:val="auto"/>
        </w:rPr>
        <w:t>43</w:t>
      </w:r>
      <w:r w:rsidR="00800257">
        <w:rPr>
          <w:rFonts w:eastAsiaTheme="minorHAnsi" w:cs="Arial"/>
          <w:color w:val="auto"/>
        </w:rPr>
        <w:t xml:space="preserve"> cases</w:t>
      </w:r>
      <w:r w:rsidR="00534753">
        <w:rPr>
          <w:rFonts w:eastAsiaTheme="minorHAnsi" w:cs="Arial"/>
          <w:color w:val="auto"/>
        </w:rPr>
        <w:t>)</w:t>
      </w:r>
      <w:r w:rsidR="00F8173A">
        <w:rPr>
          <w:rFonts w:eastAsiaTheme="minorHAnsi" w:cs="Arial"/>
          <w:color w:val="auto"/>
        </w:rPr>
        <w:t xml:space="preserve">, </w:t>
      </w:r>
      <w:r w:rsidR="00CD0DDD">
        <w:rPr>
          <w:rFonts w:eastAsiaTheme="minorHAnsi" w:cs="Arial"/>
          <w:color w:val="auto"/>
        </w:rPr>
        <w:t>i</w:t>
      </w:r>
      <w:r w:rsidR="00F8173A">
        <w:rPr>
          <w:rFonts w:eastAsiaTheme="minorHAnsi" w:cs="Arial"/>
          <w:color w:val="auto"/>
        </w:rPr>
        <w:t xml:space="preserve">.e. </w:t>
      </w:r>
      <w:r w:rsidR="0039716A" w:rsidRPr="0039716A">
        <w:rPr>
          <w:rFonts w:eastAsiaTheme="minorHAnsi" w:cs="Arial"/>
          <w:color w:val="auto"/>
        </w:rPr>
        <w:t xml:space="preserve"> </w:t>
      </w:r>
      <w:proofErr w:type="gramStart"/>
      <w:r w:rsidR="0039716A" w:rsidRPr="0039716A">
        <w:rPr>
          <w:rFonts w:eastAsiaTheme="minorHAnsi" w:cs="Arial"/>
          <w:color w:val="auto"/>
        </w:rPr>
        <w:t>the</w:t>
      </w:r>
      <w:proofErr w:type="gramEnd"/>
      <w:r w:rsidR="0039716A" w:rsidRPr="0039716A">
        <w:rPr>
          <w:rFonts w:eastAsiaTheme="minorHAnsi" w:cs="Arial"/>
          <w:color w:val="auto"/>
        </w:rPr>
        <w:t xml:space="preserve"> customer’s circumstances fall under section 2.3 of the DHP policy, which are instances where we do</w:t>
      </w:r>
      <w:r w:rsidR="0039716A">
        <w:rPr>
          <w:rFonts w:eastAsiaTheme="minorHAnsi" w:cs="Arial"/>
          <w:color w:val="auto"/>
        </w:rPr>
        <w:t xml:space="preserve"> not</w:t>
      </w:r>
      <w:r w:rsidR="00AD7DBC">
        <w:rPr>
          <w:rFonts w:eastAsiaTheme="minorHAnsi" w:cs="Arial"/>
          <w:color w:val="auto"/>
        </w:rPr>
        <w:t xml:space="preserve"> usually intend to pay DHP</w:t>
      </w:r>
      <w:r w:rsidR="00800257">
        <w:rPr>
          <w:rFonts w:eastAsiaTheme="minorHAnsi" w:cs="Arial"/>
          <w:color w:val="auto"/>
        </w:rPr>
        <w:t>,</w:t>
      </w:r>
      <w:r w:rsidR="00AD7DBC">
        <w:rPr>
          <w:rFonts w:eastAsiaTheme="minorHAnsi" w:cs="Arial"/>
          <w:color w:val="auto"/>
        </w:rPr>
        <w:t xml:space="preserve"> unless there are circumstances where paying the DHP</w:t>
      </w:r>
      <w:r w:rsidR="0039716A" w:rsidRPr="0039716A">
        <w:rPr>
          <w:rFonts w:eastAsiaTheme="minorHAnsi" w:cs="Arial"/>
          <w:color w:val="auto"/>
        </w:rPr>
        <w:t xml:space="preserve"> would strongly support the policy objectives</w:t>
      </w:r>
      <w:r w:rsidR="00800257">
        <w:rPr>
          <w:rFonts w:eastAsiaTheme="minorHAnsi" w:cs="Arial"/>
          <w:color w:val="auto"/>
        </w:rPr>
        <w:t>.</w:t>
      </w:r>
      <w:r w:rsidR="00D36B9D">
        <w:rPr>
          <w:rFonts w:eastAsiaTheme="minorHAnsi" w:cs="Arial"/>
          <w:color w:val="auto"/>
        </w:rPr>
        <w:t xml:space="preserve"> Whenever a DHP application is turned down, the customer is still offered the support of the Welfare Reform </w:t>
      </w:r>
      <w:r w:rsidR="00AD325B">
        <w:rPr>
          <w:rFonts w:eastAsiaTheme="minorHAnsi" w:cs="Arial"/>
          <w:color w:val="auto"/>
        </w:rPr>
        <w:t>Team</w:t>
      </w:r>
      <w:r w:rsidR="00D36B9D">
        <w:rPr>
          <w:rFonts w:eastAsiaTheme="minorHAnsi" w:cs="Arial"/>
          <w:color w:val="auto"/>
        </w:rPr>
        <w:t>.</w:t>
      </w:r>
    </w:p>
    <w:p w:rsidR="007D7BBA" w:rsidRPr="008A302B" w:rsidRDefault="007D7BBA" w:rsidP="00CD0DDD">
      <w:pPr>
        <w:spacing w:after="200" w:line="276" w:lineRule="auto"/>
        <w:ind w:left="360"/>
        <w:rPr>
          <w:rFonts w:eastAsiaTheme="minorHAnsi" w:cs="Arial"/>
          <w:b/>
          <w:color w:val="auto"/>
        </w:rPr>
      </w:pPr>
      <w:r w:rsidRPr="008A302B">
        <w:rPr>
          <w:rFonts w:eastAsiaTheme="minorHAnsi" w:cs="Arial"/>
          <w:b/>
          <w:color w:val="auto"/>
        </w:rPr>
        <w:t>Table 2</w:t>
      </w:r>
      <w:r w:rsidR="009B2F24">
        <w:rPr>
          <w:rFonts w:eastAsiaTheme="minorHAnsi" w:cs="Arial"/>
          <w:b/>
          <w:color w:val="auto"/>
        </w:rPr>
        <w:t xml:space="preserve"> Reasons for refusing DHP</w:t>
      </w:r>
      <w:r w:rsidR="00B746AB">
        <w:rPr>
          <w:rFonts w:eastAsiaTheme="minorHAnsi" w:cs="Arial"/>
          <w:b/>
          <w:color w:val="auto"/>
        </w:rPr>
        <w:t>s</w:t>
      </w:r>
      <w:r w:rsidR="009B2F24">
        <w:rPr>
          <w:rFonts w:eastAsiaTheme="minorHAnsi" w:cs="Arial"/>
          <w:b/>
          <w:color w:val="auto"/>
        </w:rPr>
        <w:t xml:space="preserve"> from 2016-18</w:t>
      </w:r>
    </w:p>
    <w:tbl>
      <w:tblPr>
        <w:tblStyle w:val="TableGrid1"/>
        <w:tblW w:w="0" w:type="auto"/>
        <w:jc w:val="right"/>
        <w:tblLook w:val="04A0" w:firstRow="1" w:lastRow="0" w:firstColumn="1" w:lastColumn="0" w:noHBand="0" w:noVBand="1"/>
      </w:tblPr>
      <w:tblGrid>
        <w:gridCol w:w="5932"/>
        <w:gridCol w:w="1559"/>
        <w:gridCol w:w="1326"/>
      </w:tblGrid>
      <w:tr w:rsidR="009960AA" w:rsidRPr="00AC656D" w:rsidTr="00CD0DDD">
        <w:trPr>
          <w:jc w:val="right"/>
        </w:trPr>
        <w:tc>
          <w:tcPr>
            <w:tcW w:w="5932" w:type="dxa"/>
          </w:tcPr>
          <w:p w:rsidR="009960AA" w:rsidRPr="00AC656D" w:rsidRDefault="009960AA" w:rsidP="00CD0DDD">
            <w:r w:rsidRPr="00AC656D">
              <w:t>Reason for refusal</w:t>
            </w:r>
          </w:p>
        </w:tc>
        <w:tc>
          <w:tcPr>
            <w:tcW w:w="1559" w:type="dxa"/>
          </w:tcPr>
          <w:p w:rsidR="009960AA" w:rsidRPr="00C715B1" w:rsidRDefault="009960AA" w:rsidP="004A044B">
            <w:pPr>
              <w:jc w:val="center"/>
            </w:pPr>
            <w:r w:rsidRPr="00AC656D">
              <w:t>Totals</w:t>
            </w:r>
            <w:r>
              <w:t xml:space="preserve"> 2016/17</w:t>
            </w:r>
          </w:p>
        </w:tc>
        <w:tc>
          <w:tcPr>
            <w:tcW w:w="1326" w:type="dxa"/>
          </w:tcPr>
          <w:p w:rsidR="009960AA" w:rsidRPr="00AC656D" w:rsidRDefault="009960AA" w:rsidP="004A044B">
            <w:pPr>
              <w:jc w:val="center"/>
            </w:pPr>
            <w:r>
              <w:t>Totals 2017/18</w:t>
            </w:r>
          </w:p>
        </w:tc>
      </w:tr>
      <w:tr w:rsidR="009960AA" w:rsidRPr="00AC656D" w:rsidTr="00CD0DDD">
        <w:trPr>
          <w:jc w:val="right"/>
        </w:trPr>
        <w:tc>
          <w:tcPr>
            <w:tcW w:w="5932" w:type="dxa"/>
          </w:tcPr>
          <w:p w:rsidR="009960AA" w:rsidRPr="00AC656D" w:rsidRDefault="009960AA" w:rsidP="00CD0DDD">
            <w:r w:rsidRPr="00AC656D">
              <w:t>No long term plan to reduce reliance on DHP</w:t>
            </w:r>
          </w:p>
        </w:tc>
        <w:tc>
          <w:tcPr>
            <w:tcW w:w="1559" w:type="dxa"/>
          </w:tcPr>
          <w:p w:rsidR="009960AA" w:rsidRPr="00AC656D" w:rsidRDefault="009960AA" w:rsidP="004A044B">
            <w:pPr>
              <w:jc w:val="right"/>
            </w:pPr>
            <w:r>
              <w:t>35</w:t>
            </w:r>
          </w:p>
        </w:tc>
        <w:tc>
          <w:tcPr>
            <w:tcW w:w="1326" w:type="dxa"/>
          </w:tcPr>
          <w:p w:rsidR="009960AA" w:rsidRPr="00AC656D" w:rsidRDefault="0039716A" w:rsidP="004A044B">
            <w:pPr>
              <w:jc w:val="right"/>
            </w:pPr>
            <w:r>
              <w:t>4</w:t>
            </w:r>
          </w:p>
        </w:tc>
      </w:tr>
      <w:tr w:rsidR="009960AA" w:rsidRPr="00AC656D" w:rsidTr="00CD0DDD">
        <w:trPr>
          <w:jc w:val="right"/>
        </w:trPr>
        <w:tc>
          <w:tcPr>
            <w:tcW w:w="5932" w:type="dxa"/>
          </w:tcPr>
          <w:p w:rsidR="009960AA" w:rsidRPr="00AC656D" w:rsidRDefault="009960AA" w:rsidP="00CD0DDD">
            <w:r w:rsidRPr="009960AA">
              <w:t>Doesn’t meet DHP policy criteria</w:t>
            </w:r>
          </w:p>
        </w:tc>
        <w:tc>
          <w:tcPr>
            <w:tcW w:w="1559" w:type="dxa"/>
          </w:tcPr>
          <w:p w:rsidR="009960AA" w:rsidRPr="00AC656D" w:rsidRDefault="009960AA" w:rsidP="004A044B">
            <w:pPr>
              <w:jc w:val="right"/>
            </w:pPr>
            <w:r>
              <w:t>33</w:t>
            </w:r>
          </w:p>
        </w:tc>
        <w:tc>
          <w:tcPr>
            <w:tcW w:w="1326" w:type="dxa"/>
          </w:tcPr>
          <w:p w:rsidR="009960AA" w:rsidRPr="00AC656D" w:rsidRDefault="0039716A" w:rsidP="004A044B">
            <w:pPr>
              <w:jc w:val="right"/>
            </w:pPr>
            <w:r>
              <w:t>10</w:t>
            </w:r>
          </w:p>
        </w:tc>
      </w:tr>
      <w:tr w:rsidR="009960AA" w:rsidRPr="00AC656D" w:rsidTr="00CD0DDD">
        <w:trPr>
          <w:jc w:val="right"/>
        </w:trPr>
        <w:tc>
          <w:tcPr>
            <w:tcW w:w="5932" w:type="dxa"/>
          </w:tcPr>
          <w:p w:rsidR="009960AA" w:rsidRPr="00AC656D" w:rsidRDefault="009960AA" w:rsidP="00CD0DDD">
            <w:r w:rsidRPr="009960AA">
              <w:t>DHP would not sustain tenancy</w:t>
            </w:r>
          </w:p>
        </w:tc>
        <w:tc>
          <w:tcPr>
            <w:tcW w:w="1559" w:type="dxa"/>
          </w:tcPr>
          <w:p w:rsidR="009960AA" w:rsidRPr="00AC656D" w:rsidRDefault="009960AA" w:rsidP="004A044B">
            <w:pPr>
              <w:jc w:val="right"/>
            </w:pPr>
            <w:r w:rsidRPr="00AC656D">
              <w:t>2</w:t>
            </w:r>
            <w:r>
              <w:t>5</w:t>
            </w:r>
          </w:p>
        </w:tc>
        <w:tc>
          <w:tcPr>
            <w:tcW w:w="1326" w:type="dxa"/>
          </w:tcPr>
          <w:p w:rsidR="009960AA" w:rsidRPr="00AC656D" w:rsidRDefault="00351035" w:rsidP="004A044B">
            <w:pPr>
              <w:jc w:val="right"/>
            </w:pPr>
            <w:r>
              <w:t>1</w:t>
            </w:r>
            <w:r w:rsidR="0039716A">
              <w:t>1</w:t>
            </w:r>
          </w:p>
        </w:tc>
      </w:tr>
      <w:tr w:rsidR="00EC1DD9" w:rsidRPr="00AC656D" w:rsidTr="00CD0DDD">
        <w:trPr>
          <w:jc w:val="right"/>
        </w:trPr>
        <w:tc>
          <w:tcPr>
            <w:tcW w:w="5932" w:type="dxa"/>
          </w:tcPr>
          <w:p w:rsidR="00EC1DD9" w:rsidRPr="00EC1DD9" w:rsidRDefault="00EC1DD9" w:rsidP="00CD0DDD">
            <w:r>
              <w:t>Customer’s income is sufficient to pay shortfall</w:t>
            </w:r>
          </w:p>
        </w:tc>
        <w:tc>
          <w:tcPr>
            <w:tcW w:w="1559" w:type="dxa"/>
          </w:tcPr>
          <w:p w:rsidR="00EC1DD9" w:rsidRDefault="00EC1DD9" w:rsidP="004A044B">
            <w:pPr>
              <w:jc w:val="right"/>
            </w:pPr>
            <w:r>
              <w:t>20</w:t>
            </w:r>
          </w:p>
        </w:tc>
        <w:tc>
          <w:tcPr>
            <w:tcW w:w="1326" w:type="dxa"/>
          </w:tcPr>
          <w:p w:rsidR="00EC1DD9" w:rsidRPr="00AC656D" w:rsidRDefault="00351035" w:rsidP="004A044B">
            <w:pPr>
              <w:jc w:val="right"/>
            </w:pPr>
            <w:r>
              <w:t>9</w:t>
            </w:r>
          </w:p>
        </w:tc>
      </w:tr>
      <w:tr w:rsidR="009960AA" w:rsidRPr="00AC656D" w:rsidTr="00CD0DDD">
        <w:trPr>
          <w:jc w:val="right"/>
        </w:trPr>
        <w:tc>
          <w:tcPr>
            <w:tcW w:w="5932" w:type="dxa"/>
          </w:tcPr>
          <w:p w:rsidR="009960AA" w:rsidRPr="00AC656D" w:rsidRDefault="00EC1DD9" w:rsidP="00CD0DDD">
            <w:r w:rsidRPr="00EC1DD9">
              <w:t>Means tested shortfall only</w:t>
            </w:r>
          </w:p>
        </w:tc>
        <w:tc>
          <w:tcPr>
            <w:tcW w:w="1559" w:type="dxa"/>
          </w:tcPr>
          <w:p w:rsidR="009960AA" w:rsidRPr="00AC656D" w:rsidRDefault="009960AA" w:rsidP="004A044B">
            <w:pPr>
              <w:jc w:val="right"/>
            </w:pPr>
            <w:r>
              <w:t>17</w:t>
            </w:r>
          </w:p>
        </w:tc>
        <w:tc>
          <w:tcPr>
            <w:tcW w:w="1326" w:type="dxa"/>
          </w:tcPr>
          <w:p w:rsidR="009960AA" w:rsidRPr="00AC656D" w:rsidRDefault="0039716A" w:rsidP="004A044B">
            <w:pPr>
              <w:jc w:val="right"/>
            </w:pPr>
            <w:r>
              <w:t>7</w:t>
            </w:r>
          </w:p>
        </w:tc>
      </w:tr>
      <w:tr w:rsidR="009960AA" w:rsidRPr="00AC656D" w:rsidTr="00CD0DDD">
        <w:trPr>
          <w:jc w:val="right"/>
        </w:trPr>
        <w:tc>
          <w:tcPr>
            <w:tcW w:w="5932" w:type="dxa"/>
          </w:tcPr>
          <w:p w:rsidR="009960AA" w:rsidRPr="00AC656D" w:rsidRDefault="00EC1DD9" w:rsidP="00CD0DDD">
            <w:r>
              <w:t>No rent shortfall (new one)</w:t>
            </w:r>
          </w:p>
        </w:tc>
        <w:tc>
          <w:tcPr>
            <w:tcW w:w="1559" w:type="dxa"/>
          </w:tcPr>
          <w:p w:rsidR="009960AA" w:rsidRPr="00AC656D" w:rsidRDefault="009960AA" w:rsidP="004A044B">
            <w:pPr>
              <w:jc w:val="right"/>
            </w:pPr>
            <w:r w:rsidRPr="00AC656D">
              <w:t>1</w:t>
            </w:r>
            <w:r>
              <w:t>5</w:t>
            </w:r>
          </w:p>
        </w:tc>
        <w:tc>
          <w:tcPr>
            <w:tcW w:w="1326" w:type="dxa"/>
          </w:tcPr>
          <w:p w:rsidR="009960AA" w:rsidRPr="00AC656D" w:rsidRDefault="0039716A" w:rsidP="004A044B">
            <w:pPr>
              <w:jc w:val="right"/>
            </w:pPr>
            <w:r>
              <w:t>6</w:t>
            </w:r>
          </w:p>
        </w:tc>
      </w:tr>
      <w:tr w:rsidR="009960AA" w:rsidRPr="00AC656D" w:rsidTr="00CD0DDD">
        <w:trPr>
          <w:jc w:val="right"/>
        </w:trPr>
        <w:tc>
          <w:tcPr>
            <w:tcW w:w="5932" w:type="dxa"/>
          </w:tcPr>
          <w:p w:rsidR="009960AA" w:rsidRPr="00AC656D" w:rsidRDefault="009960AA" w:rsidP="00CD0DDD">
            <w:r w:rsidRPr="00AC656D">
              <w:t>Failed to supply requested information</w:t>
            </w:r>
          </w:p>
        </w:tc>
        <w:tc>
          <w:tcPr>
            <w:tcW w:w="1559" w:type="dxa"/>
          </w:tcPr>
          <w:p w:rsidR="009960AA" w:rsidRPr="00AC656D" w:rsidRDefault="009960AA" w:rsidP="004A044B">
            <w:pPr>
              <w:jc w:val="right"/>
            </w:pPr>
            <w:r w:rsidRPr="00AC656D">
              <w:t>1</w:t>
            </w:r>
            <w:r>
              <w:t>4</w:t>
            </w:r>
          </w:p>
        </w:tc>
        <w:tc>
          <w:tcPr>
            <w:tcW w:w="1326" w:type="dxa"/>
          </w:tcPr>
          <w:p w:rsidR="009960AA" w:rsidRPr="00AC656D" w:rsidRDefault="00351035" w:rsidP="004A044B">
            <w:pPr>
              <w:jc w:val="right"/>
            </w:pPr>
            <w:r>
              <w:t>6</w:t>
            </w:r>
          </w:p>
        </w:tc>
      </w:tr>
      <w:tr w:rsidR="009960AA" w:rsidRPr="00AC656D" w:rsidTr="00CD0DDD">
        <w:trPr>
          <w:jc w:val="right"/>
        </w:trPr>
        <w:tc>
          <w:tcPr>
            <w:tcW w:w="5932" w:type="dxa"/>
          </w:tcPr>
          <w:p w:rsidR="009960AA" w:rsidRPr="00AC656D" w:rsidRDefault="00EC1DD9" w:rsidP="00CD0DDD">
            <w:r>
              <w:t>No HB entitlement (new one)</w:t>
            </w:r>
          </w:p>
        </w:tc>
        <w:tc>
          <w:tcPr>
            <w:tcW w:w="1559" w:type="dxa"/>
          </w:tcPr>
          <w:p w:rsidR="009960AA" w:rsidRPr="00AC656D" w:rsidRDefault="009960AA" w:rsidP="004A044B">
            <w:pPr>
              <w:jc w:val="right"/>
            </w:pPr>
            <w:r>
              <w:t>12</w:t>
            </w:r>
          </w:p>
        </w:tc>
        <w:tc>
          <w:tcPr>
            <w:tcW w:w="1326" w:type="dxa"/>
          </w:tcPr>
          <w:p w:rsidR="009960AA" w:rsidRPr="00AC656D" w:rsidRDefault="0039716A" w:rsidP="004A044B">
            <w:pPr>
              <w:jc w:val="right"/>
            </w:pPr>
            <w:r>
              <w:t>6</w:t>
            </w:r>
          </w:p>
        </w:tc>
      </w:tr>
      <w:tr w:rsidR="009960AA" w:rsidRPr="00AC656D" w:rsidTr="00CD0DDD">
        <w:trPr>
          <w:jc w:val="right"/>
        </w:trPr>
        <w:tc>
          <w:tcPr>
            <w:tcW w:w="5932" w:type="dxa"/>
          </w:tcPr>
          <w:p w:rsidR="009960AA" w:rsidRPr="00AC656D" w:rsidRDefault="00EC1DD9" w:rsidP="00CD0DDD">
            <w:r>
              <w:t>No longer affected by welfare reform</w:t>
            </w:r>
          </w:p>
        </w:tc>
        <w:tc>
          <w:tcPr>
            <w:tcW w:w="1559" w:type="dxa"/>
          </w:tcPr>
          <w:p w:rsidR="00EC1DD9" w:rsidRPr="00AC656D" w:rsidRDefault="00EC1DD9" w:rsidP="004A044B">
            <w:pPr>
              <w:jc w:val="right"/>
            </w:pPr>
            <w:r>
              <w:t>5</w:t>
            </w:r>
          </w:p>
        </w:tc>
        <w:tc>
          <w:tcPr>
            <w:tcW w:w="1326" w:type="dxa"/>
          </w:tcPr>
          <w:p w:rsidR="009960AA" w:rsidRPr="00AC656D" w:rsidRDefault="0039716A" w:rsidP="004A044B">
            <w:pPr>
              <w:jc w:val="right"/>
            </w:pPr>
            <w:r>
              <w:t>4</w:t>
            </w:r>
          </w:p>
        </w:tc>
      </w:tr>
      <w:tr w:rsidR="009960AA" w:rsidRPr="00AC656D" w:rsidTr="00CD0DDD">
        <w:trPr>
          <w:jc w:val="right"/>
        </w:trPr>
        <w:tc>
          <w:tcPr>
            <w:tcW w:w="5932" w:type="dxa"/>
          </w:tcPr>
          <w:p w:rsidR="009960AA" w:rsidRPr="00AC656D" w:rsidRDefault="00EC1DD9" w:rsidP="00CD0DDD">
            <w:r w:rsidRPr="00EC1DD9">
              <w:t>Didn’t meet conditions of previous award</w:t>
            </w:r>
          </w:p>
        </w:tc>
        <w:tc>
          <w:tcPr>
            <w:tcW w:w="1559" w:type="dxa"/>
          </w:tcPr>
          <w:p w:rsidR="009960AA" w:rsidRPr="00AC656D" w:rsidRDefault="00EC1DD9" w:rsidP="004A044B">
            <w:pPr>
              <w:jc w:val="right"/>
            </w:pPr>
            <w:r>
              <w:t>4</w:t>
            </w:r>
          </w:p>
        </w:tc>
        <w:tc>
          <w:tcPr>
            <w:tcW w:w="1326" w:type="dxa"/>
          </w:tcPr>
          <w:p w:rsidR="009960AA" w:rsidRPr="00AC656D" w:rsidRDefault="00351035" w:rsidP="004A044B">
            <w:pPr>
              <w:jc w:val="right"/>
            </w:pPr>
            <w:r>
              <w:t>1</w:t>
            </w:r>
          </w:p>
        </w:tc>
      </w:tr>
      <w:tr w:rsidR="009960AA" w:rsidRPr="00AC656D" w:rsidTr="00CD0DDD">
        <w:trPr>
          <w:jc w:val="right"/>
        </w:trPr>
        <w:tc>
          <w:tcPr>
            <w:tcW w:w="5932" w:type="dxa"/>
          </w:tcPr>
          <w:p w:rsidR="009960AA" w:rsidRPr="00AC656D" w:rsidRDefault="00EC1DD9" w:rsidP="00CD0DDD">
            <w:r w:rsidRPr="00EC1DD9">
              <w:t>Rent determined to be too expensive</w:t>
            </w:r>
          </w:p>
        </w:tc>
        <w:tc>
          <w:tcPr>
            <w:tcW w:w="1559" w:type="dxa"/>
          </w:tcPr>
          <w:p w:rsidR="009960AA" w:rsidRPr="00AC656D" w:rsidRDefault="009960AA" w:rsidP="004A044B">
            <w:pPr>
              <w:jc w:val="right"/>
            </w:pPr>
            <w:r>
              <w:t>4</w:t>
            </w:r>
          </w:p>
        </w:tc>
        <w:tc>
          <w:tcPr>
            <w:tcW w:w="1326" w:type="dxa"/>
          </w:tcPr>
          <w:p w:rsidR="009960AA" w:rsidRPr="00AC656D" w:rsidRDefault="00351035" w:rsidP="004A044B">
            <w:pPr>
              <w:jc w:val="right"/>
            </w:pPr>
            <w:r>
              <w:t>6</w:t>
            </w:r>
          </w:p>
        </w:tc>
      </w:tr>
      <w:tr w:rsidR="009960AA" w:rsidRPr="00AC656D" w:rsidTr="00CD0DDD">
        <w:trPr>
          <w:jc w:val="right"/>
        </w:trPr>
        <w:tc>
          <w:tcPr>
            <w:tcW w:w="5932" w:type="dxa"/>
          </w:tcPr>
          <w:p w:rsidR="009960AA" w:rsidRPr="00AC656D" w:rsidRDefault="00EC1DD9" w:rsidP="00CD0DDD">
            <w:r>
              <w:t>Ineligible rent costs</w:t>
            </w:r>
          </w:p>
        </w:tc>
        <w:tc>
          <w:tcPr>
            <w:tcW w:w="1559" w:type="dxa"/>
          </w:tcPr>
          <w:p w:rsidR="009960AA" w:rsidRPr="00AC656D" w:rsidRDefault="009960AA" w:rsidP="004A044B">
            <w:pPr>
              <w:jc w:val="right"/>
            </w:pPr>
            <w:r>
              <w:t>4</w:t>
            </w:r>
          </w:p>
        </w:tc>
        <w:tc>
          <w:tcPr>
            <w:tcW w:w="1326" w:type="dxa"/>
          </w:tcPr>
          <w:p w:rsidR="009960AA" w:rsidRPr="00AC656D" w:rsidRDefault="00351035" w:rsidP="004A044B">
            <w:pPr>
              <w:jc w:val="right"/>
            </w:pPr>
            <w:r>
              <w:t>2</w:t>
            </w:r>
          </w:p>
        </w:tc>
      </w:tr>
      <w:tr w:rsidR="009960AA" w:rsidRPr="00AC656D" w:rsidTr="00CD0DDD">
        <w:trPr>
          <w:jc w:val="right"/>
        </w:trPr>
        <w:tc>
          <w:tcPr>
            <w:tcW w:w="5932" w:type="dxa"/>
          </w:tcPr>
          <w:p w:rsidR="009960AA" w:rsidRPr="00AC656D" w:rsidRDefault="00351035" w:rsidP="00CD0DDD">
            <w:r>
              <w:t>In receipt of a top-up from the Home Choice scheme</w:t>
            </w:r>
          </w:p>
        </w:tc>
        <w:tc>
          <w:tcPr>
            <w:tcW w:w="1559" w:type="dxa"/>
          </w:tcPr>
          <w:p w:rsidR="009960AA" w:rsidRDefault="00EC1DD9" w:rsidP="004A044B">
            <w:pPr>
              <w:jc w:val="right"/>
            </w:pPr>
            <w:r>
              <w:t>3</w:t>
            </w:r>
          </w:p>
        </w:tc>
        <w:tc>
          <w:tcPr>
            <w:tcW w:w="1326" w:type="dxa"/>
          </w:tcPr>
          <w:p w:rsidR="009960AA" w:rsidRPr="00AC656D" w:rsidRDefault="00351035" w:rsidP="004A044B">
            <w:pPr>
              <w:jc w:val="right"/>
            </w:pPr>
            <w:r>
              <w:t>3</w:t>
            </w:r>
          </w:p>
        </w:tc>
      </w:tr>
      <w:tr w:rsidR="00EC1DD9" w:rsidRPr="00AC656D" w:rsidTr="00CD0DDD">
        <w:trPr>
          <w:jc w:val="right"/>
        </w:trPr>
        <w:tc>
          <w:tcPr>
            <w:tcW w:w="5932" w:type="dxa"/>
          </w:tcPr>
          <w:p w:rsidR="00EC1DD9" w:rsidRPr="00EC1DD9" w:rsidRDefault="00EC1DD9" w:rsidP="00CD0DDD">
            <w:r w:rsidRPr="00EC1DD9">
              <w:t>Unwilling to accept conditions of award</w:t>
            </w:r>
          </w:p>
        </w:tc>
        <w:tc>
          <w:tcPr>
            <w:tcW w:w="1559" w:type="dxa"/>
          </w:tcPr>
          <w:p w:rsidR="00EC1DD9" w:rsidRDefault="00351035" w:rsidP="004A044B">
            <w:pPr>
              <w:jc w:val="right"/>
            </w:pPr>
            <w:r>
              <w:t>3</w:t>
            </w:r>
          </w:p>
        </w:tc>
        <w:tc>
          <w:tcPr>
            <w:tcW w:w="1326" w:type="dxa"/>
          </w:tcPr>
          <w:p w:rsidR="00EC1DD9" w:rsidRPr="00AC656D" w:rsidRDefault="0039716A" w:rsidP="004A044B">
            <w:pPr>
              <w:jc w:val="right"/>
            </w:pPr>
            <w:r>
              <w:t>1</w:t>
            </w:r>
          </w:p>
        </w:tc>
      </w:tr>
    </w:tbl>
    <w:p w:rsidR="0064234F" w:rsidRPr="00342E16" w:rsidRDefault="0064234F" w:rsidP="00CD0DDD">
      <w:pPr>
        <w:pStyle w:val="ListParagraph"/>
        <w:numPr>
          <w:ilvl w:val="0"/>
          <w:numId w:val="0"/>
        </w:numPr>
        <w:spacing w:after="200" w:line="276" w:lineRule="auto"/>
        <w:ind w:left="720"/>
        <w:rPr>
          <w:rFonts w:eastAsiaTheme="minorHAnsi" w:cs="Arial"/>
          <w:color w:val="auto"/>
        </w:rPr>
      </w:pPr>
    </w:p>
    <w:p w:rsidR="007D7BBA" w:rsidRDefault="00AD325B" w:rsidP="00AC656D">
      <w:pPr>
        <w:pStyle w:val="ListParagraph"/>
        <w:numPr>
          <w:ilvl w:val="0"/>
          <w:numId w:val="35"/>
        </w:numPr>
        <w:spacing w:after="200" w:line="276" w:lineRule="auto"/>
        <w:rPr>
          <w:rFonts w:eastAsiaTheme="minorHAnsi" w:cs="Arial"/>
          <w:color w:val="auto"/>
        </w:rPr>
      </w:pPr>
      <w:r w:rsidRPr="00342E16">
        <w:rPr>
          <w:rFonts w:eastAsiaTheme="minorHAnsi" w:cs="Arial"/>
          <w:color w:val="auto"/>
        </w:rPr>
        <w:t>Table</w:t>
      </w:r>
      <w:r w:rsidR="0064234F" w:rsidRPr="00342E16">
        <w:rPr>
          <w:rFonts w:eastAsiaTheme="minorHAnsi" w:cs="Arial"/>
          <w:color w:val="auto"/>
        </w:rPr>
        <w:t xml:space="preserve"> </w:t>
      </w:r>
      <w:r>
        <w:rPr>
          <w:rFonts w:eastAsiaTheme="minorHAnsi" w:cs="Arial"/>
          <w:color w:val="auto"/>
        </w:rPr>
        <w:t xml:space="preserve">3 </w:t>
      </w:r>
      <w:r w:rsidR="0064234F" w:rsidRPr="00342E16">
        <w:rPr>
          <w:rFonts w:eastAsiaTheme="minorHAnsi" w:cs="Arial"/>
          <w:color w:val="auto"/>
        </w:rPr>
        <w:t xml:space="preserve">compares the details of DHP awards and expenditure by benefit category </w:t>
      </w:r>
      <w:r w:rsidR="00CD0DDD" w:rsidRPr="00342E16">
        <w:rPr>
          <w:rFonts w:eastAsiaTheme="minorHAnsi" w:cs="Arial"/>
          <w:color w:val="auto"/>
        </w:rPr>
        <w:t xml:space="preserve">for </w:t>
      </w:r>
      <w:r w:rsidR="00CD0DDD" w:rsidRPr="00B42D23">
        <w:rPr>
          <w:rFonts w:eastAsiaTheme="minorHAnsi" w:cs="Arial"/>
          <w:color w:val="auto"/>
        </w:rPr>
        <w:t>all</w:t>
      </w:r>
      <w:r w:rsidR="004E3F0D">
        <w:rPr>
          <w:rFonts w:eastAsiaTheme="minorHAnsi" w:cs="Arial"/>
          <w:color w:val="auto"/>
        </w:rPr>
        <w:t xml:space="preserve"> years since 201</w:t>
      </w:r>
      <w:r w:rsidR="00852A3C">
        <w:rPr>
          <w:rFonts w:eastAsiaTheme="minorHAnsi" w:cs="Arial"/>
          <w:color w:val="auto"/>
        </w:rPr>
        <w:t>3/14</w:t>
      </w:r>
      <w:r w:rsidR="004E3F0D">
        <w:rPr>
          <w:rFonts w:eastAsiaTheme="minorHAnsi" w:cs="Arial"/>
          <w:color w:val="auto"/>
        </w:rPr>
        <w:t>, when the Benefit Cap and Bedroom Tax were introduced.</w:t>
      </w:r>
      <w:r w:rsidR="0064234F" w:rsidRPr="00B42D23">
        <w:rPr>
          <w:rFonts w:eastAsiaTheme="minorHAnsi" w:cs="Arial"/>
          <w:color w:val="auto"/>
        </w:rPr>
        <w:t xml:space="preserve"> Please note that the category of “Other” relates to circumstances where an applicant is not entitled to full Housing Benefit. This will usually be as a result of having greater income than the minimum level which attracts full </w:t>
      </w:r>
      <w:r w:rsidR="0064234F" w:rsidRPr="00C715B1">
        <w:rPr>
          <w:rFonts w:eastAsiaTheme="minorHAnsi" w:cs="Arial"/>
          <w:color w:val="auto"/>
        </w:rPr>
        <w:t>Housing Benefit or, due to deductions made in respect of non-dependant adults living at the property.</w:t>
      </w:r>
      <w:r w:rsidR="0064234F" w:rsidRPr="00C715B1">
        <w:rPr>
          <w:rFonts w:eastAsiaTheme="minorHAnsi" w:cs="Arial"/>
          <w:color w:val="auto"/>
        </w:rPr>
        <w:tab/>
      </w:r>
    </w:p>
    <w:p w:rsidR="0064234F" w:rsidRPr="008A302B" w:rsidRDefault="007D7BBA" w:rsidP="008A302B">
      <w:pPr>
        <w:spacing w:after="200" w:line="276" w:lineRule="auto"/>
        <w:ind w:left="360"/>
        <w:rPr>
          <w:rFonts w:eastAsiaTheme="minorHAnsi" w:cs="Arial"/>
          <w:b/>
          <w:color w:val="auto"/>
        </w:rPr>
      </w:pPr>
      <w:r w:rsidRPr="008A302B">
        <w:rPr>
          <w:rFonts w:eastAsiaTheme="minorHAnsi" w:cs="Arial"/>
          <w:b/>
          <w:color w:val="auto"/>
        </w:rPr>
        <w:t>Table 3</w:t>
      </w:r>
      <w:r w:rsidR="00CD0DDD">
        <w:rPr>
          <w:rFonts w:eastAsiaTheme="minorHAnsi" w:cs="Arial"/>
          <w:b/>
          <w:color w:val="auto"/>
        </w:rPr>
        <w:t xml:space="preserve"> – Breakdown of DHP Expenditure by Welfare Refo</w:t>
      </w:r>
      <w:r w:rsidR="004A044B">
        <w:rPr>
          <w:rFonts w:eastAsiaTheme="minorHAnsi" w:cs="Arial"/>
          <w:b/>
          <w:color w:val="auto"/>
        </w:rPr>
        <w:t>r</w:t>
      </w:r>
      <w:r w:rsidR="00CD0DDD">
        <w:rPr>
          <w:rFonts w:eastAsiaTheme="minorHAnsi" w:cs="Arial"/>
          <w:b/>
          <w:color w:val="auto"/>
        </w:rPr>
        <w:t>m since 2013/14</w:t>
      </w:r>
    </w:p>
    <w:tbl>
      <w:tblPr>
        <w:tblStyle w:val="TableGrid1"/>
        <w:tblW w:w="0" w:type="auto"/>
        <w:jc w:val="right"/>
        <w:tblLook w:val="04A0" w:firstRow="1" w:lastRow="0" w:firstColumn="1" w:lastColumn="0" w:noHBand="0" w:noVBand="1"/>
      </w:tblPr>
      <w:tblGrid>
        <w:gridCol w:w="1817"/>
        <w:gridCol w:w="1240"/>
        <w:gridCol w:w="1276"/>
        <w:gridCol w:w="1218"/>
        <w:gridCol w:w="1218"/>
        <w:gridCol w:w="1701"/>
      </w:tblGrid>
      <w:tr w:rsidR="00AD7DBC" w:rsidRPr="00AC656D" w:rsidTr="00CD0DDD">
        <w:trPr>
          <w:jc w:val="right"/>
        </w:trPr>
        <w:tc>
          <w:tcPr>
            <w:tcW w:w="1817" w:type="dxa"/>
          </w:tcPr>
          <w:p w:rsidR="00AD7DBC" w:rsidRPr="00AC656D" w:rsidRDefault="00AD7DBC" w:rsidP="00342E16">
            <w:pPr>
              <w:spacing w:after="200" w:line="276" w:lineRule="auto"/>
              <w:rPr>
                <w:b/>
                <w:color w:val="auto"/>
              </w:rPr>
            </w:pPr>
            <w:r w:rsidRPr="00AC656D">
              <w:rPr>
                <w:b/>
                <w:color w:val="auto"/>
              </w:rPr>
              <w:t>Reason For Claim</w:t>
            </w:r>
          </w:p>
        </w:tc>
        <w:tc>
          <w:tcPr>
            <w:tcW w:w="1240" w:type="dxa"/>
          </w:tcPr>
          <w:p w:rsidR="00AD7DBC" w:rsidRPr="00AC656D" w:rsidRDefault="00AD7DBC" w:rsidP="00342E16">
            <w:pPr>
              <w:spacing w:after="200" w:line="276" w:lineRule="auto"/>
              <w:rPr>
                <w:b/>
                <w:color w:val="auto"/>
              </w:rPr>
            </w:pPr>
            <w:r w:rsidRPr="00AC656D">
              <w:rPr>
                <w:b/>
                <w:color w:val="auto"/>
              </w:rPr>
              <w:t>2013/14</w:t>
            </w:r>
          </w:p>
        </w:tc>
        <w:tc>
          <w:tcPr>
            <w:tcW w:w="1276" w:type="dxa"/>
          </w:tcPr>
          <w:p w:rsidR="00AD7DBC" w:rsidRPr="00AC656D" w:rsidRDefault="00AD7DBC" w:rsidP="00B42D23">
            <w:pPr>
              <w:spacing w:after="200" w:line="276" w:lineRule="auto"/>
              <w:rPr>
                <w:b/>
                <w:color w:val="auto"/>
              </w:rPr>
            </w:pPr>
            <w:r w:rsidRPr="00AC656D">
              <w:rPr>
                <w:b/>
                <w:color w:val="auto"/>
              </w:rPr>
              <w:t>2014/15</w:t>
            </w:r>
          </w:p>
        </w:tc>
        <w:tc>
          <w:tcPr>
            <w:tcW w:w="1218" w:type="dxa"/>
          </w:tcPr>
          <w:p w:rsidR="00AD7DBC" w:rsidRPr="00AC656D" w:rsidRDefault="00AD7DBC" w:rsidP="00AD7DBC">
            <w:pPr>
              <w:spacing w:after="200" w:line="276" w:lineRule="auto"/>
              <w:rPr>
                <w:b/>
                <w:color w:val="auto"/>
              </w:rPr>
            </w:pPr>
            <w:r w:rsidRPr="00AC656D">
              <w:rPr>
                <w:b/>
                <w:color w:val="auto"/>
              </w:rPr>
              <w:t xml:space="preserve">2015/16 </w:t>
            </w:r>
          </w:p>
        </w:tc>
        <w:tc>
          <w:tcPr>
            <w:tcW w:w="1191" w:type="dxa"/>
          </w:tcPr>
          <w:p w:rsidR="00AD7DBC" w:rsidRPr="00AC656D" w:rsidRDefault="00AD7DBC" w:rsidP="00C715B1">
            <w:pPr>
              <w:spacing w:after="200" w:line="276" w:lineRule="auto"/>
              <w:rPr>
                <w:b/>
                <w:color w:val="auto"/>
              </w:rPr>
            </w:pPr>
            <w:r>
              <w:rPr>
                <w:b/>
                <w:color w:val="auto"/>
              </w:rPr>
              <w:t>2016/17</w:t>
            </w:r>
          </w:p>
        </w:tc>
        <w:tc>
          <w:tcPr>
            <w:tcW w:w="1701" w:type="dxa"/>
          </w:tcPr>
          <w:p w:rsidR="00AD7DBC" w:rsidRPr="00AC656D" w:rsidRDefault="00AD7DBC" w:rsidP="00AD7DBC">
            <w:pPr>
              <w:spacing w:after="200" w:line="276" w:lineRule="auto"/>
              <w:rPr>
                <w:b/>
                <w:color w:val="auto"/>
              </w:rPr>
            </w:pPr>
            <w:r>
              <w:rPr>
                <w:b/>
                <w:color w:val="auto"/>
              </w:rPr>
              <w:t>2017/18 (to August 2017)</w:t>
            </w:r>
          </w:p>
        </w:tc>
      </w:tr>
      <w:tr w:rsidR="00AD7DBC" w:rsidRPr="00AC656D" w:rsidTr="00CD0DDD">
        <w:trPr>
          <w:jc w:val="right"/>
        </w:trPr>
        <w:tc>
          <w:tcPr>
            <w:tcW w:w="1817" w:type="dxa"/>
          </w:tcPr>
          <w:p w:rsidR="00AD7DBC" w:rsidRPr="00AC656D" w:rsidRDefault="00AD7DBC" w:rsidP="00AC656D">
            <w:pPr>
              <w:spacing w:after="200" w:line="276" w:lineRule="auto"/>
              <w:rPr>
                <w:color w:val="auto"/>
              </w:rPr>
            </w:pPr>
            <w:r w:rsidRPr="00AC656D">
              <w:rPr>
                <w:color w:val="auto"/>
              </w:rPr>
              <w:t>Benefit Cap</w:t>
            </w:r>
          </w:p>
        </w:tc>
        <w:tc>
          <w:tcPr>
            <w:tcW w:w="1240" w:type="dxa"/>
          </w:tcPr>
          <w:p w:rsidR="00AD7DBC" w:rsidRPr="00AC656D" w:rsidRDefault="00AD7DBC" w:rsidP="004A044B">
            <w:pPr>
              <w:spacing w:after="200" w:line="276" w:lineRule="auto"/>
              <w:jc w:val="right"/>
              <w:rPr>
                <w:color w:val="auto"/>
              </w:rPr>
            </w:pPr>
            <w:r w:rsidRPr="00AC656D">
              <w:rPr>
                <w:color w:val="auto"/>
              </w:rPr>
              <w:t>£213,065</w:t>
            </w:r>
          </w:p>
        </w:tc>
        <w:tc>
          <w:tcPr>
            <w:tcW w:w="1276" w:type="dxa"/>
          </w:tcPr>
          <w:p w:rsidR="00AD7DBC" w:rsidRPr="00AC656D" w:rsidRDefault="00AD7DBC" w:rsidP="004A044B">
            <w:pPr>
              <w:spacing w:after="200" w:line="276" w:lineRule="auto"/>
              <w:jc w:val="right"/>
              <w:rPr>
                <w:color w:val="auto"/>
              </w:rPr>
            </w:pPr>
            <w:r w:rsidRPr="00AC656D">
              <w:rPr>
                <w:color w:val="auto"/>
              </w:rPr>
              <w:t>£224,293</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28,180</w:t>
            </w:r>
          </w:p>
        </w:tc>
        <w:tc>
          <w:tcPr>
            <w:tcW w:w="1191" w:type="dxa"/>
          </w:tcPr>
          <w:p w:rsidR="00AD7DBC" w:rsidRPr="00AC656D" w:rsidRDefault="00AD7DBC" w:rsidP="004A044B">
            <w:pPr>
              <w:spacing w:after="200" w:line="276" w:lineRule="auto"/>
              <w:jc w:val="right"/>
              <w:rPr>
                <w:color w:val="auto"/>
              </w:rPr>
            </w:pPr>
            <w:r>
              <w:rPr>
                <w:color w:val="auto"/>
              </w:rPr>
              <w:t>£237,161</w:t>
            </w:r>
          </w:p>
        </w:tc>
        <w:tc>
          <w:tcPr>
            <w:tcW w:w="1701" w:type="dxa"/>
          </w:tcPr>
          <w:p w:rsidR="00AD7DBC" w:rsidRPr="00AC656D" w:rsidRDefault="004E3F0D" w:rsidP="004A044B">
            <w:pPr>
              <w:spacing w:after="200" w:line="276" w:lineRule="auto"/>
              <w:jc w:val="right"/>
              <w:rPr>
                <w:color w:val="auto"/>
              </w:rPr>
            </w:pPr>
            <w:r>
              <w:rPr>
                <w:color w:val="auto"/>
              </w:rPr>
              <w:t>£199,482</w:t>
            </w:r>
          </w:p>
        </w:tc>
      </w:tr>
      <w:tr w:rsidR="00AD7DBC" w:rsidRPr="00AC656D" w:rsidTr="00CD0DDD">
        <w:trPr>
          <w:jc w:val="right"/>
        </w:trPr>
        <w:tc>
          <w:tcPr>
            <w:tcW w:w="1817" w:type="dxa"/>
          </w:tcPr>
          <w:p w:rsidR="00AD7DBC" w:rsidRPr="00AC656D" w:rsidRDefault="00AD7DBC" w:rsidP="00AC656D">
            <w:pPr>
              <w:spacing w:after="200" w:line="276" w:lineRule="auto"/>
              <w:rPr>
                <w:color w:val="auto"/>
              </w:rPr>
            </w:pPr>
            <w:r w:rsidRPr="00AC656D">
              <w:rPr>
                <w:color w:val="auto"/>
              </w:rPr>
              <w:t>Bedroom Tax</w:t>
            </w:r>
          </w:p>
        </w:tc>
        <w:tc>
          <w:tcPr>
            <w:tcW w:w="1240" w:type="dxa"/>
          </w:tcPr>
          <w:p w:rsidR="00AD7DBC" w:rsidRPr="00AC656D" w:rsidRDefault="00AD7DBC" w:rsidP="004A044B">
            <w:pPr>
              <w:spacing w:after="200" w:line="276" w:lineRule="auto"/>
              <w:jc w:val="right"/>
              <w:rPr>
                <w:color w:val="auto"/>
              </w:rPr>
            </w:pPr>
            <w:r w:rsidRPr="00AC656D">
              <w:rPr>
                <w:color w:val="auto"/>
              </w:rPr>
              <w:t>£124,386</w:t>
            </w:r>
          </w:p>
        </w:tc>
        <w:tc>
          <w:tcPr>
            <w:tcW w:w="1276" w:type="dxa"/>
          </w:tcPr>
          <w:p w:rsidR="00AD7DBC" w:rsidRPr="00AC656D" w:rsidRDefault="00AD7DBC" w:rsidP="004A044B">
            <w:pPr>
              <w:spacing w:after="200" w:line="276" w:lineRule="auto"/>
              <w:jc w:val="right"/>
              <w:rPr>
                <w:color w:val="auto"/>
              </w:rPr>
            </w:pPr>
            <w:r w:rsidRPr="00AC656D">
              <w:rPr>
                <w:color w:val="auto"/>
              </w:rPr>
              <w:t>£95,135</w:t>
            </w:r>
          </w:p>
        </w:tc>
        <w:tc>
          <w:tcPr>
            <w:tcW w:w="1218" w:type="dxa"/>
          </w:tcPr>
          <w:p w:rsidR="00AD7DBC" w:rsidRPr="00AC656D" w:rsidRDefault="00AD7DBC" w:rsidP="004A044B">
            <w:pPr>
              <w:spacing w:after="200" w:line="276" w:lineRule="auto"/>
              <w:jc w:val="right"/>
              <w:rPr>
                <w:color w:val="auto"/>
              </w:rPr>
            </w:pPr>
            <w:r w:rsidRPr="00AC656D">
              <w:rPr>
                <w:color w:val="auto"/>
              </w:rPr>
              <w:t>£</w:t>
            </w:r>
            <w:r>
              <w:rPr>
                <w:color w:val="auto"/>
              </w:rPr>
              <w:t>40,860</w:t>
            </w:r>
          </w:p>
        </w:tc>
        <w:tc>
          <w:tcPr>
            <w:tcW w:w="1191" w:type="dxa"/>
          </w:tcPr>
          <w:p w:rsidR="00AD7DBC" w:rsidRPr="00AC656D" w:rsidRDefault="00AD7DBC" w:rsidP="004A044B">
            <w:pPr>
              <w:spacing w:after="200" w:line="276" w:lineRule="auto"/>
              <w:jc w:val="right"/>
              <w:rPr>
                <w:color w:val="auto"/>
              </w:rPr>
            </w:pPr>
            <w:r>
              <w:rPr>
                <w:color w:val="auto"/>
              </w:rPr>
              <w:t>£38,136</w:t>
            </w:r>
          </w:p>
        </w:tc>
        <w:tc>
          <w:tcPr>
            <w:tcW w:w="1701" w:type="dxa"/>
          </w:tcPr>
          <w:p w:rsidR="00AD7DBC" w:rsidRPr="00AC656D" w:rsidRDefault="004E3F0D" w:rsidP="004A044B">
            <w:pPr>
              <w:spacing w:after="200" w:line="276" w:lineRule="auto"/>
              <w:jc w:val="right"/>
              <w:rPr>
                <w:color w:val="auto"/>
              </w:rPr>
            </w:pPr>
            <w:r>
              <w:rPr>
                <w:color w:val="auto"/>
              </w:rPr>
              <w:t>£13,074</w:t>
            </w:r>
          </w:p>
        </w:tc>
      </w:tr>
      <w:tr w:rsidR="00AD7DBC" w:rsidRPr="00AC656D" w:rsidTr="00CD0DDD">
        <w:trPr>
          <w:jc w:val="right"/>
        </w:trPr>
        <w:tc>
          <w:tcPr>
            <w:tcW w:w="1817" w:type="dxa"/>
          </w:tcPr>
          <w:p w:rsidR="00AD7DBC" w:rsidRPr="00AC656D" w:rsidRDefault="00AD7DBC" w:rsidP="00AC656D">
            <w:pPr>
              <w:spacing w:after="200" w:line="276" w:lineRule="auto"/>
              <w:rPr>
                <w:color w:val="auto"/>
              </w:rPr>
            </w:pPr>
            <w:r w:rsidRPr="00AC656D">
              <w:rPr>
                <w:color w:val="auto"/>
              </w:rPr>
              <w:t>Local Housing Allowance</w:t>
            </w:r>
          </w:p>
        </w:tc>
        <w:tc>
          <w:tcPr>
            <w:tcW w:w="1240" w:type="dxa"/>
          </w:tcPr>
          <w:p w:rsidR="00AD7DBC" w:rsidRPr="00AC656D" w:rsidRDefault="00AD7DBC" w:rsidP="004A044B">
            <w:pPr>
              <w:spacing w:after="200" w:line="276" w:lineRule="auto"/>
              <w:jc w:val="right"/>
              <w:rPr>
                <w:color w:val="auto"/>
              </w:rPr>
            </w:pPr>
            <w:r w:rsidRPr="00AC656D">
              <w:rPr>
                <w:color w:val="auto"/>
              </w:rPr>
              <w:t>£93,005</w:t>
            </w:r>
          </w:p>
        </w:tc>
        <w:tc>
          <w:tcPr>
            <w:tcW w:w="1276" w:type="dxa"/>
          </w:tcPr>
          <w:p w:rsidR="00AD7DBC" w:rsidRPr="00AC656D" w:rsidRDefault="00AD7DBC" w:rsidP="004A044B">
            <w:pPr>
              <w:spacing w:after="200" w:line="276" w:lineRule="auto"/>
              <w:jc w:val="right"/>
              <w:rPr>
                <w:color w:val="auto"/>
              </w:rPr>
            </w:pPr>
            <w:r w:rsidRPr="00AC656D">
              <w:rPr>
                <w:color w:val="auto"/>
              </w:rPr>
              <w:t>£121,441</w:t>
            </w:r>
          </w:p>
        </w:tc>
        <w:tc>
          <w:tcPr>
            <w:tcW w:w="1218" w:type="dxa"/>
          </w:tcPr>
          <w:p w:rsidR="00AD7DBC" w:rsidRPr="00AC656D" w:rsidRDefault="00AD7DBC" w:rsidP="004A044B">
            <w:pPr>
              <w:spacing w:after="200" w:line="276" w:lineRule="auto"/>
              <w:jc w:val="right"/>
              <w:rPr>
                <w:color w:val="auto"/>
              </w:rPr>
            </w:pPr>
            <w:r w:rsidRPr="00AC656D">
              <w:rPr>
                <w:color w:val="auto"/>
              </w:rPr>
              <w:t>£</w:t>
            </w:r>
            <w:r>
              <w:rPr>
                <w:color w:val="auto"/>
              </w:rPr>
              <w:t>83,006</w:t>
            </w:r>
          </w:p>
        </w:tc>
        <w:tc>
          <w:tcPr>
            <w:tcW w:w="1191" w:type="dxa"/>
          </w:tcPr>
          <w:p w:rsidR="00AD7DBC" w:rsidRPr="00AC656D" w:rsidRDefault="00AD7DBC" w:rsidP="004A044B">
            <w:pPr>
              <w:spacing w:after="200" w:line="276" w:lineRule="auto"/>
              <w:jc w:val="right"/>
              <w:rPr>
                <w:color w:val="auto"/>
              </w:rPr>
            </w:pPr>
            <w:r>
              <w:rPr>
                <w:color w:val="auto"/>
              </w:rPr>
              <w:t>£92,370</w:t>
            </w:r>
          </w:p>
        </w:tc>
        <w:tc>
          <w:tcPr>
            <w:tcW w:w="1701" w:type="dxa"/>
          </w:tcPr>
          <w:p w:rsidR="00AD7DBC" w:rsidRPr="00AC656D" w:rsidRDefault="004E3F0D" w:rsidP="004A044B">
            <w:pPr>
              <w:spacing w:after="200" w:line="276" w:lineRule="auto"/>
              <w:jc w:val="right"/>
              <w:rPr>
                <w:color w:val="auto"/>
              </w:rPr>
            </w:pPr>
            <w:r>
              <w:rPr>
                <w:color w:val="auto"/>
              </w:rPr>
              <w:t>£29,388</w:t>
            </w:r>
          </w:p>
        </w:tc>
      </w:tr>
      <w:tr w:rsidR="00AD7DBC" w:rsidRPr="00AC656D" w:rsidTr="00CD0DDD">
        <w:trPr>
          <w:jc w:val="right"/>
        </w:trPr>
        <w:tc>
          <w:tcPr>
            <w:tcW w:w="1817" w:type="dxa"/>
          </w:tcPr>
          <w:p w:rsidR="00AD7DBC" w:rsidRPr="00AC656D" w:rsidRDefault="00AD7DBC" w:rsidP="00AC656D">
            <w:pPr>
              <w:spacing w:after="200" w:line="276" w:lineRule="auto"/>
              <w:rPr>
                <w:color w:val="auto"/>
              </w:rPr>
            </w:pPr>
            <w:r w:rsidRPr="00AC656D">
              <w:rPr>
                <w:color w:val="auto"/>
              </w:rPr>
              <w:t>Combination of Above</w:t>
            </w:r>
          </w:p>
        </w:tc>
        <w:tc>
          <w:tcPr>
            <w:tcW w:w="1240" w:type="dxa"/>
          </w:tcPr>
          <w:p w:rsidR="00AD7DBC" w:rsidRPr="00AC656D" w:rsidRDefault="00AD7DBC" w:rsidP="004A044B">
            <w:pPr>
              <w:spacing w:after="200" w:line="276" w:lineRule="auto"/>
              <w:jc w:val="right"/>
              <w:rPr>
                <w:color w:val="auto"/>
              </w:rPr>
            </w:pPr>
            <w:r w:rsidRPr="00AC656D">
              <w:rPr>
                <w:color w:val="auto"/>
              </w:rPr>
              <w:t>£1,681</w:t>
            </w:r>
          </w:p>
        </w:tc>
        <w:tc>
          <w:tcPr>
            <w:tcW w:w="1276" w:type="dxa"/>
          </w:tcPr>
          <w:p w:rsidR="00AD7DBC" w:rsidRPr="00AC656D" w:rsidRDefault="00AD7DBC" w:rsidP="004A044B">
            <w:pPr>
              <w:spacing w:after="200" w:line="276" w:lineRule="auto"/>
              <w:jc w:val="right"/>
              <w:rPr>
                <w:color w:val="auto"/>
              </w:rPr>
            </w:pPr>
            <w:r w:rsidRPr="00AC656D">
              <w:rPr>
                <w:color w:val="auto"/>
              </w:rPr>
              <w:t>£5,410</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219</w:t>
            </w:r>
          </w:p>
        </w:tc>
        <w:tc>
          <w:tcPr>
            <w:tcW w:w="1191" w:type="dxa"/>
          </w:tcPr>
          <w:p w:rsidR="00AD7DBC" w:rsidRPr="00AC656D" w:rsidRDefault="00AD7DBC" w:rsidP="004A044B">
            <w:pPr>
              <w:spacing w:after="200" w:line="276" w:lineRule="auto"/>
              <w:jc w:val="right"/>
              <w:rPr>
                <w:color w:val="auto"/>
              </w:rPr>
            </w:pPr>
            <w:r>
              <w:rPr>
                <w:color w:val="auto"/>
              </w:rPr>
              <w:t>£636</w:t>
            </w:r>
          </w:p>
        </w:tc>
        <w:tc>
          <w:tcPr>
            <w:tcW w:w="1701" w:type="dxa"/>
          </w:tcPr>
          <w:p w:rsidR="00AD7DBC" w:rsidRPr="00AC656D" w:rsidRDefault="004E3F0D" w:rsidP="004A044B">
            <w:pPr>
              <w:spacing w:after="200" w:line="276" w:lineRule="auto"/>
              <w:jc w:val="right"/>
              <w:rPr>
                <w:color w:val="auto"/>
              </w:rPr>
            </w:pPr>
            <w:r>
              <w:rPr>
                <w:color w:val="auto"/>
              </w:rPr>
              <w:t>£321</w:t>
            </w:r>
          </w:p>
        </w:tc>
      </w:tr>
      <w:tr w:rsidR="00AD7DBC" w:rsidRPr="00AC656D" w:rsidTr="00CD0DDD">
        <w:trPr>
          <w:jc w:val="right"/>
        </w:trPr>
        <w:tc>
          <w:tcPr>
            <w:tcW w:w="1817" w:type="dxa"/>
          </w:tcPr>
          <w:p w:rsidR="00AD7DBC" w:rsidRPr="00AC656D" w:rsidRDefault="00AD7DBC" w:rsidP="00AC656D">
            <w:pPr>
              <w:spacing w:after="200" w:line="276" w:lineRule="auto"/>
              <w:rPr>
                <w:color w:val="auto"/>
              </w:rPr>
            </w:pPr>
            <w:r w:rsidRPr="00AC656D">
              <w:rPr>
                <w:color w:val="auto"/>
              </w:rPr>
              <w:t>Other</w:t>
            </w:r>
          </w:p>
        </w:tc>
        <w:tc>
          <w:tcPr>
            <w:tcW w:w="1240" w:type="dxa"/>
          </w:tcPr>
          <w:p w:rsidR="00AD7DBC" w:rsidRPr="00AC656D" w:rsidRDefault="00AD7DBC" w:rsidP="004A044B">
            <w:pPr>
              <w:spacing w:after="200" w:line="276" w:lineRule="auto"/>
              <w:jc w:val="right"/>
              <w:rPr>
                <w:color w:val="auto"/>
              </w:rPr>
            </w:pPr>
            <w:r w:rsidRPr="00AC656D">
              <w:rPr>
                <w:color w:val="auto"/>
              </w:rPr>
              <w:t>£12,550</w:t>
            </w:r>
          </w:p>
        </w:tc>
        <w:tc>
          <w:tcPr>
            <w:tcW w:w="1276" w:type="dxa"/>
          </w:tcPr>
          <w:p w:rsidR="00AD7DBC" w:rsidRPr="00AC656D" w:rsidRDefault="00AD7DBC" w:rsidP="004A044B">
            <w:pPr>
              <w:spacing w:after="200" w:line="276" w:lineRule="auto"/>
              <w:jc w:val="right"/>
              <w:rPr>
                <w:color w:val="auto"/>
              </w:rPr>
            </w:pPr>
            <w:r w:rsidRPr="00AC656D">
              <w:rPr>
                <w:color w:val="auto"/>
              </w:rPr>
              <w:t>£29,870</w:t>
            </w:r>
          </w:p>
        </w:tc>
        <w:tc>
          <w:tcPr>
            <w:tcW w:w="1218" w:type="dxa"/>
          </w:tcPr>
          <w:p w:rsidR="00AD7DBC" w:rsidRPr="00AC656D" w:rsidRDefault="00AD7DBC" w:rsidP="004A044B">
            <w:pPr>
              <w:spacing w:after="200" w:line="276" w:lineRule="auto"/>
              <w:jc w:val="right"/>
              <w:rPr>
                <w:color w:val="auto"/>
              </w:rPr>
            </w:pPr>
            <w:r w:rsidRPr="00AC656D">
              <w:rPr>
                <w:color w:val="auto"/>
              </w:rPr>
              <w:t>£1</w:t>
            </w:r>
            <w:r>
              <w:rPr>
                <w:color w:val="auto"/>
              </w:rPr>
              <w:t>7,240</w:t>
            </w:r>
          </w:p>
        </w:tc>
        <w:tc>
          <w:tcPr>
            <w:tcW w:w="1191" w:type="dxa"/>
          </w:tcPr>
          <w:p w:rsidR="00AD7DBC" w:rsidRPr="00AC656D" w:rsidRDefault="004E3F0D" w:rsidP="004A044B">
            <w:pPr>
              <w:spacing w:after="200" w:line="276" w:lineRule="auto"/>
              <w:jc w:val="right"/>
              <w:rPr>
                <w:color w:val="auto"/>
              </w:rPr>
            </w:pPr>
            <w:r>
              <w:rPr>
                <w:color w:val="auto"/>
              </w:rPr>
              <w:t>£10,812</w:t>
            </w:r>
          </w:p>
        </w:tc>
        <w:tc>
          <w:tcPr>
            <w:tcW w:w="1701" w:type="dxa"/>
          </w:tcPr>
          <w:p w:rsidR="00AD7DBC" w:rsidRPr="00AC656D" w:rsidRDefault="004E3F0D" w:rsidP="004A044B">
            <w:pPr>
              <w:spacing w:after="200" w:line="276" w:lineRule="auto"/>
              <w:jc w:val="right"/>
              <w:rPr>
                <w:color w:val="auto"/>
              </w:rPr>
            </w:pPr>
            <w:r>
              <w:rPr>
                <w:color w:val="auto"/>
              </w:rPr>
              <w:t>£2,682</w:t>
            </w:r>
          </w:p>
        </w:tc>
      </w:tr>
    </w:tbl>
    <w:p w:rsidR="0064234F" w:rsidRPr="000011DB" w:rsidRDefault="0064234F" w:rsidP="007D7BBA">
      <w:pPr>
        <w:pStyle w:val="ListParagraph"/>
        <w:numPr>
          <w:ilvl w:val="0"/>
          <w:numId w:val="0"/>
        </w:numPr>
        <w:tabs>
          <w:tab w:val="clear" w:pos="426"/>
        </w:tabs>
        <w:spacing w:after="200" w:line="276" w:lineRule="auto"/>
        <w:ind w:left="1276" w:hanging="567"/>
        <w:rPr>
          <w:rFonts w:eastAsiaTheme="minorHAnsi" w:cs="Arial"/>
          <w:color w:val="auto"/>
        </w:rPr>
      </w:pPr>
      <w:r w:rsidRPr="008A302B">
        <w:rPr>
          <w:rFonts w:eastAsiaTheme="minorHAnsi" w:cs="Arial"/>
          <w:color w:val="auto"/>
        </w:rPr>
        <w:t>NB</w:t>
      </w:r>
      <w:r w:rsidRPr="007D7BBA">
        <w:rPr>
          <w:rFonts w:eastAsiaTheme="minorHAnsi" w:cs="Arial"/>
          <w:b/>
          <w:color w:val="auto"/>
        </w:rPr>
        <w:t>:</w:t>
      </w:r>
      <w:r w:rsidRPr="000011DB">
        <w:rPr>
          <w:rFonts w:eastAsiaTheme="minorHAnsi" w:cs="Arial"/>
          <w:color w:val="auto"/>
        </w:rPr>
        <w:t xml:space="preserve"> The figures quoted in paragraph </w:t>
      </w:r>
      <w:r w:rsidR="00D62E53" w:rsidRPr="000011DB">
        <w:rPr>
          <w:rFonts w:eastAsiaTheme="minorHAnsi" w:cs="Arial"/>
          <w:color w:val="auto"/>
        </w:rPr>
        <w:t>4</w:t>
      </w:r>
      <w:r w:rsidRPr="000011DB">
        <w:rPr>
          <w:rFonts w:eastAsiaTheme="minorHAnsi" w:cs="Arial"/>
          <w:color w:val="auto"/>
        </w:rPr>
        <w:t xml:space="preserve"> above, are taken from the Benefits system, and are different from those in the above table. This is because the benefits system takes account of awards for claims which end prematurely, or where there are minor adjustments to the amount of benefit claimed, but cannot easily record the reason for the claim. Hence the reason for claims is recorded manually in a spread sheet together with the original awar</w:t>
      </w:r>
      <w:r w:rsidR="009B2F24">
        <w:rPr>
          <w:rFonts w:eastAsiaTheme="minorHAnsi" w:cs="Arial"/>
          <w:color w:val="auto"/>
        </w:rPr>
        <w:t>d amount (the figure shown</w:t>
      </w:r>
      <w:r w:rsidRPr="000011DB">
        <w:rPr>
          <w:rFonts w:eastAsiaTheme="minorHAnsi" w:cs="Arial"/>
          <w:color w:val="auto"/>
        </w:rPr>
        <w:t xml:space="preserve"> table</w:t>
      </w:r>
      <w:r w:rsidR="009B2F24">
        <w:rPr>
          <w:rFonts w:eastAsiaTheme="minorHAnsi" w:cs="Arial"/>
          <w:color w:val="auto"/>
        </w:rPr>
        <w:t xml:space="preserve"> 3</w:t>
      </w:r>
      <w:r w:rsidRPr="000011DB">
        <w:rPr>
          <w:rFonts w:eastAsiaTheme="minorHAnsi" w:cs="Arial"/>
          <w:color w:val="auto"/>
        </w:rPr>
        <w:t>).</w:t>
      </w:r>
    </w:p>
    <w:p w:rsidR="004E3F0D" w:rsidRDefault="00C043CF" w:rsidP="00AC656D">
      <w:pPr>
        <w:pStyle w:val="ListParagraph"/>
        <w:numPr>
          <w:ilvl w:val="0"/>
          <w:numId w:val="35"/>
        </w:numPr>
        <w:spacing w:after="200" w:line="276" w:lineRule="auto"/>
        <w:rPr>
          <w:rFonts w:eastAsiaTheme="minorHAnsi" w:cs="Arial"/>
          <w:color w:val="auto"/>
        </w:rPr>
      </w:pPr>
      <w:r>
        <w:rPr>
          <w:rFonts w:eastAsiaTheme="minorHAnsi" w:cs="Arial"/>
          <w:color w:val="auto"/>
        </w:rPr>
        <w:t>T</w:t>
      </w:r>
      <w:r w:rsidR="0064234F" w:rsidRPr="000011DB">
        <w:rPr>
          <w:rFonts w:eastAsiaTheme="minorHAnsi" w:cs="Arial"/>
          <w:color w:val="auto"/>
        </w:rPr>
        <w:t xml:space="preserve">able </w:t>
      </w:r>
      <w:r>
        <w:rPr>
          <w:rFonts w:eastAsiaTheme="minorHAnsi" w:cs="Arial"/>
          <w:color w:val="auto"/>
        </w:rPr>
        <w:t>3</w:t>
      </w:r>
      <w:r w:rsidR="0064234F" w:rsidRPr="000011DB">
        <w:rPr>
          <w:rFonts w:eastAsiaTheme="minorHAnsi" w:cs="Arial"/>
          <w:color w:val="auto"/>
        </w:rPr>
        <w:t xml:space="preserve"> shows that the main </w:t>
      </w:r>
      <w:r w:rsidR="004E3F0D">
        <w:rPr>
          <w:rFonts w:eastAsiaTheme="minorHAnsi" w:cs="Arial"/>
          <w:color w:val="auto"/>
        </w:rPr>
        <w:t>driver of expenditure is the Benefit Cap.</w:t>
      </w:r>
      <w:r w:rsidR="0064234F" w:rsidRPr="000011DB">
        <w:rPr>
          <w:rFonts w:eastAsiaTheme="minorHAnsi" w:cs="Arial"/>
          <w:color w:val="auto"/>
        </w:rPr>
        <w:t xml:space="preserve"> Since the Benefit Cap was intro</w:t>
      </w:r>
      <w:r w:rsidR="004E3F0D">
        <w:rPr>
          <w:rFonts w:eastAsiaTheme="minorHAnsi" w:cs="Arial"/>
          <w:color w:val="auto"/>
        </w:rPr>
        <w:t>duced in 2013, it has affected 554</w:t>
      </w:r>
      <w:r w:rsidR="0064234F" w:rsidRPr="000011DB">
        <w:rPr>
          <w:rFonts w:eastAsiaTheme="minorHAnsi" w:cs="Arial"/>
          <w:color w:val="auto"/>
        </w:rPr>
        <w:t xml:space="preserve"> households in Oxford.</w:t>
      </w:r>
      <w:r w:rsidR="004E3F0D">
        <w:rPr>
          <w:rFonts w:eastAsiaTheme="minorHAnsi" w:cs="Arial"/>
          <w:color w:val="auto"/>
        </w:rPr>
        <w:t xml:space="preserve"> However 303 of these cases have only been impacted since the Benefit Cap was reduced from £26,000 to £20,000 last November. </w:t>
      </w:r>
    </w:p>
    <w:p w:rsidR="0064234F" w:rsidRDefault="004E3F0D" w:rsidP="00AC656D">
      <w:pPr>
        <w:pStyle w:val="ListParagraph"/>
        <w:numPr>
          <w:ilvl w:val="0"/>
          <w:numId w:val="35"/>
        </w:numPr>
        <w:spacing w:after="200" w:line="276" w:lineRule="auto"/>
        <w:rPr>
          <w:rFonts w:eastAsiaTheme="minorHAnsi" w:cs="Arial"/>
          <w:color w:val="auto"/>
        </w:rPr>
      </w:pPr>
      <w:r>
        <w:rPr>
          <w:rFonts w:eastAsiaTheme="minorHAnsi" w:cs="Arial"/>
          <w:color w:val="auto"/>
        </w:rPr>
        <w:t>Customers are supported to find exemptions from the Benefit Cap, and paid DHP</w:t>
      </w:r>
      <w:r w:rsidR="00C838ED">
        <w:rPr>
          <w:rFonts w:eastAsiaTheme="minorHAnsi" w:cs="Arial"/>
          <w:color w:val="auto"/>
        </w:rPr>
        <w:t>s</w:t>
      </w:r>
      <w:r>
        <w:rPr>
          <w:rFonts w:eastAsiaTheme="minorHAnsi" w:cs="Arial"/>
          <w:color w:val="auto"/>
        </w:rPr>
        <w:t xml:space="preserve"> in the interim</w:t>
      </w:r>
      <w:r w:rsidR="0064234F" w:rsidRPr="000011DB">
        <w:rPr>
          <w:rFonts w:eastAsiaTheme="minorHAnsi" w:cs="Arial"/>
          <w:color w:val="auto"/>
        </w:rPr>
        <w:t xml:space="preserve"> </w:t>
      </w:r>
      <w:r>
        <w:rPr>
          <w:rFonts w:eastAsiaTheme="minorHAnsi" w:cs="Arial"/>
          <w:color w:val="auto"/>
        </w:rPr>
        <w:t>to safeguard their tenancy</w:t>
      </w:r>
      <w:r w:rsidRPr="009214B7">
        <w:rPr>
          <w:rFonts w:eastAsiaTheme="minorHAnsi" w:cs="Arial"/>
          <w:color w:val="auto"/>
        </w:rPr>
        <w:t xml:space="preserve">. </w:t>
      </w:r>
      <w:r w:rsidR="0064234F" w:rsidRPr="009214B7">
        <w:rPr>
          <w:rFonts w:eastAsiaTheme="minorHAnsi" w:cs="Arial"/>
          <w:color w:val="auto"/>
        </w:rPr>
        <w:t>However</w:t>
      </w:r>
      <w:r w:rsidRPr="009214B7">
        <w:rPr>
          <w:rFonts w:eastAsiaTheme="minorHAnsi" w:cs="Arial"/>
          <w:color w:val="auto"/>
        </w:rPr>
        <w:t xml:space="preserve"> </w:t>
      </w:r>
      <w:r w:rsidR="00CD0DDD" w:rsidRPr="009214B7">
        <w:rPr>
          <w:rFonts w:eastAsiaTheme="minorHAnsi" w:cs="Arial"/>
          <w:color w:val="auto"/>
        </w:rPr>
        <w:t>the total number of customers affected by the Benefit Cap remains high</w:t>
      </w:r>
      <w:r w:rsidR="004A044B" w:rsidRPr="009214B7">
        <w:rPr>
          <w:rFonts w:eastAsiaTheme="minorHAnsi" w:cs="Arial"/>
          <w:color w:val="auto"/>
        </w:rPr>
        <w:t xml:space="preserve">, as changes in circumstances mean that new customers become subject to the cap on a weekly basis. This is mainly driven by the birth of an additional child which increases entitlement to </w:t>
      </w:r>
      <w:r w:rsidR="00644488" w:rsidRPr="009214B7">
        <w:rPr>
          <w:rFonts w:eastAsiaTheme="minorHAnsi" w:cs="Arial"/>
          <w:color w:val="auto"/>
        </w:rPr>
        <w:t>tax credits and child benefit, pushing households over the £20,000 annual benefit cap threshold.</w:t>
      </w:r>
      <w:r w:rsidR="009214B7">
        <w:rPr>
          <w:rFonts w:eastAsiaTheme="minorHAnsi" w:cs="Arial"/>
          <w:color w:val="auto"/>
        </w:rPr>
        <w:t xml:space="preserve"> </w:t>
      </w:r>
      <w:r w:rsidR="00D4331F" w:rsidRPr="009214B7">
        <w:rPr>
          <w:rFonts w:eastAsiaTheme="minorHAnsi" w:cs="Arial"/>
          <w:color w:val="auto"/>
        </w:rPr>
        <w:t>There have been</w:t>
      </w:r>
      <w:r w:rsidR="00D4331F">
        <w:rPr>
          <w:rFonts w:eastAsiaTheme="minorHAnsi" w:cs="Arial"/>
          <w:color w:val="auto"/>
        </w:rPr>
        <w:t xml:space="preserve"> 54 new cases since 1 April 2017.</w:t>
      </w:r>
      <w:r w:rsidR="00CD0DDD">
        <w:rPr>
          <w:rFonts w:eastAsiaTheme="minorHAnsi" w:cs="Arial"/>
          <w:color w:val="auto"/>
        </w:rPr>
        <w:t xml:space="preserve">  </w:t>
      </w:r>
      <w:r w:rsidR="00DC4D11">
        <w:rPr>
          <w:rFonts w:eastAsiaTheme="minorHAnsi" w:cs="Arial"/>
          <w:color w:val="auto"/>
        </w:rPr>
        <w:lastRenderedPageBreak/>
        <w:t>This means that DHP expenditure on the Benefit Cap is likely to remain high for the rest of the year.</w:t>
      </w:r>
    </w:p>
    <w:p w:rsidR="003A28BF" w:rsidRDefault="003A28BF" w:rsidP="00AC656D">
      <w:pPr>
        <w:pStyle w:val="ListParagraph"/>
        <w:numPr>
          <w:ilvl w:val="0"/>
          <w:numId w:val="35"/>
        </w:numPr>
        <w:spacing w:after="200" w:line="276" w:lineRule="auto"/>
        <w:rPr>
          <w:rFonts w:eastAsiaTheme="minorHAnsi" w:cs="Arial"/>
          <w:color w:val="auto"/>
        </w:rPr>
      </w:pPr>
      <w:r>
        <w:rPr>
          <w:rFonts w:eastAsiaTheme="minorHAnsi" w:cs="Arial"/>
          <w:color w:val="auto"/>
        </w:rPr>
        <w:t xml:space="preserve">In previous years Housing Services have made additional funding available as a contingency in case expenditure exceeds the government grant. 2016/17 was the only year that this funding was </w:t>
      </w:r>
      <w:r w:rsidR="00D9713F">
        <w:rPr>
          <w:rFonts w:eastAsiaTheme="minorHAnsi" w:cs="Arial"/>
          <w:color w:val="auto"/>
        </w:rPr>
        <w:t>required</w:t>
      </w:r>
      <w:r>
        <w:rPr>
          <w:rFonts w:eastAsiaTheme="minorHAnsi" w:cs="Arial"/>
          <w:color w:val="auto"/>
        </w:rPr>
        <w:t xml:space="preserve"> and only £2,217 was needed. Due to other funding pressures within Housing Services, this contingency was not provided for the current year.</w:t>
      </w:r>
      <w:r w:rsidR="009B2F24">
        <w:rPr>
          <w:rFonts w:eastAsiaTheme="minorHAnsi" w:cs="Arial"/>
          <w:color w:val="auto"/>
        </w:rPr>
        <w:t xml:space="preserve"> Expenditure is forecast to be around £500,000 this year as the weekly expenditure is gradually reducing (as shown in the graph below). </w:t>
      </w:r>
      <w:r w:rsidR="00800257">
        <w:rPr>
          <w:rFonts w:eastAsiaTheme="minorHAnsi" w:cs="Arial"/>
          <w:color w:val="auto"/>
        </w:rPr>
        <w:t xml:space="preserve">However, </w:t>
      </w:r>
      <w:r w:rsidR="00D9713F">
        <w:rPr>
          <w:rFonts w:eastAsiaTheme="minorHAnsi" w:cs="Arial"/>
          <w:color w:val="auto"/>
        </w:rPr>
        <w:t>due to the high level of expenditure the</w:t>
      </w:r>
      <w:r>
        <w:rPr>
          <w:rFonts w:eastAsiaTheme="minorHAnsi" w:cs="Arial"/>
          <w:color w:val="auto"/>
        </w:rPr>
        <w:t xml:space="preserve"> Council is making a request to DCLG to allow £25,000 to be transferred from the HRA to the General Fund to be use</w:t>
      </w:r>
      <w:r w:rsidR="00D9713F">
        <w:rPr>
          <w:rFonts w:eastAsiaTheme="minorHAnsi" w:cs="Arial"/>
          <w:color w:val="auto"/>
        </w:rPr>
        <w:t>d to top up the DHP grant. This provides a 5% contingency in the event of a change in the current trend.</w:t>
      </w:r>
      <w:r w:rsidR="00ED5019">
        <w:rPr>
          <w:rFonts w:eastAsiaTheme="minorHAnsi" w:cs="Arial"/>
          <w:color w:val="auto"/>
        </w:rPr>
        <w:t xml:space="preserve"> There is capacity within the HRA budget for this provision.</w:t>
      </w:r>
    </w:p>
    <w:p w:rsidR="008F784C" w:rsidRPr="00AC656D" w:rsidRDefault="008F784C" w:rsidP="008F784C">
      <w:pPr>
        <w:pStyle w:val="ListParagraph"/>
        <w:numPr>
          <w:ilvl w:val="0"/>
          <w:numId w:val="0"/>
        </w:numPr>
        <w:spacing w:after="200" w:line="276" w:lineRule="auto"/>
        <w:ind w:left="720"/>
        <w:rPr>
          <w:rFonts w:eastAsiaTheme="minorHAnsi" w:cs="Arial"/>
          <w:color w:val="auto"/>
        </w:rPr>
      </w:pPr>
      <w:r>
        <w:rPr>
          <w:rFonts w:eastAsiaTheme="minorHAnsi" w:cs="Arial"/>
          <w:noProof/>
          <w:color w:val="auto"/>
        </w:rPr>
        <w:drawing>
          <wp:inline distT="0" distB="0" distL="0" distR="0" wp14:anchorId="74E036EA" wp14:editId="58A7ACF6">
            <wp:extent cx="4584700" cy="2755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4234F" w:rsidRPr="008472DE" w:rsidRDefault="0064234F" w:rsidP="008472DE">
      <w:pPr>
        <w:pStyle w:val="ListParagraph"/>
        <w:numPr>
          <w:ilvl w:val="0"/>
          <w:numId w:val="35"/>
        </w:numPr>
        <w:spacing w:after="200" w:line="276" w:lineRule="auto"/>
        <w:rPr>
          <w:rFonts w:eastAsiaTheme="minorHAnsi" w:cs="Arial"/>
          <w:color w:val="auto"/>
        </w:rPr>
      </w:pPr>
      <w:r w:rsidRPr="008472DE">
        <w:rPr>
          <w:rFonts w:eastAsiaTheme="minorHAnsi" w:cs="Arial"/>
          <w:color w:val="auto"/>
        </w:rPr>
        <w:t xml:space="preserve">DHP awards require action plans to be agreed so that customers are supported to manage their shortfalls themselves.  The top five actions </w:t>
      </w:r>
      <w:r w:rsidR="008E060B">
        <w:rPr>
          <w:rFonts w:eastAsiaTheme="minorHAnsi" w:cs="Arial"/>
          <w:color w:val="auto"/>
        </w:rPr>
        <w:t xml:space="preserve">for the last two years </w:t>
      </w:r>
      <w:r w:rsidRPr="008472DE">
        <w:rPr>
          <w:rFonts w:eastAsiaTheme="minorHAnsi" w:cs="Arial"/>
          <w:color w:val="auto"/>
        </w:rPr>
        <w:t>are shown in the table below. An action plan would not be agreed for awards made for a short fixed period, such as supporting someone as they move into employment.</w:t>
      </w:r>
      <w:r w:rsidR="008E060B">
        <w:rPr>
          <w:rFonts w:eastAsiaTheme="minorHAnsi" w:cs="Arial"/>
          <w:color w:val="auto"/>
        </w:rPr>
        <w:t xml:space="preserve"> There have</w:t>
      </w:r>
      <w:r w:rsidR="00D9713F">
        <w:rPr>
          <w:rFonts w:eastAsiaTheme="minorHAnsi" w:cs="Arial"/>
          <w:color w:val="auto"/>
        </w:rPr>
        <w:t xml:space="preserve"> only</w:t>
      </w:r>
      <w:r w:rsidR="008E060B">
        <w:rPr>
          <w:rFonts w:eastAsiaTheme="minorHAnsi" w:cs="Arial"/>
          <w:color w:val="auto"/>
        </w:rPr>
        <w:t xml:space="preserve"> been 65</w:t>
      </w:r>
      <w:r w:rsidR="00FB0EC3" w:rsidRPr="008472DE">
        <w:rPr>
          <w:rFonts w:eastAsiaTheme="minorHAnsi" w:cs="Arial"/>
          <w:color w:val="auto"/>
        </w:rPr>
        <w:t xml:space="preserve"> awards made without conditions in the last</w:t>
      </w:r>
      <w:r w:rsidR="008E060B">
        <w:rPr>
          <w:rFonts w:eastAsiaTheme="minorHAnsi" w:cs="Arial"/>
          <w:color w:val="auto"/>
        </w:rPr>
        <w:t xml:space="preserve"> two</w:t>
      </w:r>
      <w:r w:rsidR="00FB0EC3" w:rsidRPr="008472DE">
        <w:rPr>
          <w:rFonts w:eastAsiaTheme="minorHAnsi" w:cs="Arial"/>
          <w:color w:val="auto"/>
        </w:rPr>
        <w:t xml:space="preserve"> year</w:t>
      </w:r>
      <w:r w:rsidR="008E060B">
        <w:rPr>
          <w:rFonts w:eastAsiaTheme="minorHAnsi" w:cs="Arial"/>
          <w:color w:val="auto"/>
        </w:rPr>
        <w:t>s</w:t>
      </w:r>
      <w:r w:rsidR="00FB0EC3" w:rsidRPr="008472DE">
        <w:rPr>
          <w:rFonts w:eastAsiaTheme="minorHAnsi" w:cs="Arial"/>
          <w:color w:val="auto"/>
        </w:rPr>
        <w:t>.</w:t>
      </w:r>
    </w:p>
    <w:p w:rsidR="007D7BBA" w:rsidRPr="00FB0EC3" w:rsidRDefault="007D7BBA" w:rsidP="00FB0EC3">
      <w:pPr>
        <w:spacing w:after="200" w:line="276" w:lineRule="auto"/>
        <w:ind w:left="360"/>
        <w:rPr>
          <w:rFonts w:eastAsiaTheme="minorHAnsi" w:cs="Arial"/>
          <w:b/>
          <w:color w:val="auto"/>
        </w:rPr>
      </w:pPr>
      <w:r w:rsidRPr="00FB0EC3">
        <w:rPr>
          <w:rFonts w:eastAsiaTheme="minorHAnsi" w:cs="Arial"/>
          <w:b/>
          <w:color w:val="auto"/>
        </w:rPr>
        <w:t>Table 4</w:t>
      </w:r>
      <w:r w:rsidR="00D9713F">
        <w:rPr>
          <w:rFonts w:eastAsiaTheme="minorHAnsi" w:cs="Arial"/>
          <w:b/>
          <w:color w:val="auto"/>
        </w:rPr>
        <w:t xml:space="preserve"> - Top 5 conditions for DHP awards f</w:t>
      </w:r>
      <w:r w:rsidR="003547AE">
        <w:rPr>
          <w:rFonts w:eastAsiaTheme="minorHAnsi" w:cs="Arial"/>
          <w:b/>
          <w:color w:val="auto"/>
        </w:rPr>
        <w:t>rom</w:t>
      </w:r>
      <w:r w:rsidR="00D9713F">
        <w:rPr>
          <w:rFonts w:eastAsiaTheme="minorHAnsi" w:cs="Arial"/>
          <w:b/>
          <w:color w:val="auto"/>
        </w:rPr>
        <w:t xml:space="preserve"> 2016-18</w:t>
      </w:r>
    </w:p>
    <w:tbl>
      <w:tblPr>
        <w:tblStyle w:val="TableGrid1"/>
        <w:tblW w:w="0" w:type="auto"/>
        <w:tblInd w:w="488" w:type="dxa"/>
        <w:tblLook w:val="04A0" w:firstRow="1" w:lastRow="0" w:firstColumn="1" w:lastColumn="0" w:noHBand="0" w:noVBand="1"/>
      </w:tblPr>
      <w:tblGrid>
        <w:gridCol w:w="4688"/>
        <w:gridCol w:w="2204"/>
        <w:gridCol w:w="2134"/>
      </w:tblGrid>
      <w:tr w:rsidR="008E060B" w:rsidRPr="00AC656D" w:rsidTr="008E060B">
        <w:tc>
          <w:tcPr>
            <w:tcW w:w="4688" w:type="dxa"/>
          </w:tcPr>
          <w:p w:rsidR="008E060B" w:rsidRPr="00AC656D" w:rsidRDefault="008E060B" w:rsidP="008E060B">
            <w:r w:rsidRPr="00AC656D">
              <w:t>Agreed action</w:t>
            </w:r>
          </w:p>
        </w:tc>
        <w:tc>
          <w:tcPr>
            <w:tcW w:w="2204" w:type="dxa"/>
          </w:tcPr>
          <w:p w:rsidR="008E060B" w:rsidRPr="00AC656D" w:rsidRDefault="008E060B" w:rsidP="008E060B">
            <w:r w:rsidRPr="00AC656D">
              <w:t>Totals</w:t>
            </w:r>
            <w:r>
              <w:t xml:space="preserve"> 2016/17</w:t>
            </w:r>
          </w:p>
        </w:tc>
        <w:tc>
          <w:tcPr>
            <w:tcW w:w="2134" w:type="dxa"/>
          </w:tcPr>
          <w:p w:rsidR="008E060B" w:rsidRPr="00AC656D" w:rsidRDefault="008E060B" w:rsidP="008E060B">
            <w:r>
              <w:t>Totals 2017/18</w:t>
            </w:r>
          </w:p>
        </w:tc>
      </w:tr>
      <w:tr w:rsidR="008E060B" w:rsidRPr="00AC656D" w:rsidTr="008E060B">
        <w:tc>
          <w:tcPr>
            <w:tcW w:w="4688" w:type="dxa"/>
          </w:tcPr>
          <w:p w:rsidR="008E060B" w:rsidRPr="00AC656D" w:rsidRDefault="008E060B" w:rsidP="008E060B">
            <w:r w:rsidRPr="00AC656D">
              <w:t>Look for work</w:t>
            </w:r>
          </w:p>
        </w:tc>
        <w:tc>
          <w:tcPr>
            <w:tcW w:w="2204" w:type="dxa"/>
          </w:tcPr>
          <w:p w:rsidR="008E060B" w:rsidRPr="00AC656D" w:rsidRDefault="008E060B" w:rsidP="004A044B">
            <w:pPr>
              <w:jc w:val="right"/>
            </w:pPr>
            <w:r w:rsidRPr="00AC656D">
              <w:t>1</w:t>
            </w:r>
            <w:r>
              <w:t>91</w:t>
            </w:r>
          </w:p>
        </w:tc>
        <w:tc>
          <w:tcPr>
            <w:tcW w:w="2134" w:type="dxa"/>
          </w:tcPr>
          <w:p w:rsidR="008E060B" w:rsidRPr="00AC656D" w:rsidRDefault="008E060B" w:rsidP="004A044B">
            <w:pPr>
              <w:jc w:val="right"/>
            </w:pPr>
            <w:r>
              <w:t>126</w:t>
            </w:r>
          </w:p>
        </w:tc>
      </w:tr>
      <w:tr w:rsidR="008E060B" w:rsidRPr="00AC656D" w:rsidTr="008E060B">
        <w:tc>
          <w:tcPr>
            <w:tcW w:w="4688" w:type="dxa"/>
          </w:tcPr>
          <w:p w:rsidR="008E060B" w:rsidRPr="00AC656D" w:rsidRDefault="008E060B" w:rsidP="008E060B">
            <w:r>
              <w:t>Apply for another benefit</w:t>
            </w:r>
          </w:p>
        </w:tc>
        <w:tc>
          <w:tcPr>
            <w:tcW w:w="2204" w:type="dxa"/>
          </w:tcPr>
          <w:p w:rsidR="008E060B" w:rsidRPr="00AC656D" w:rsidRDefault="008E060B" w:rsidP="004A044B">
            <w:pPr>
              <w:jc w:val="right"/>
            </w:pPr>
            <w:r>
              <w:t>94</w:t>
            </w:r>
          </w:p>
        </w:tc>
        <w:tc>
          <w:tcPr>
            <w:tcW w:w="2134" w:type="dxa"/>
          </w:tcPr>
          <w:p w:rsidR="008E060B" w:rsidRPr="00AC656D" w:rsidRDefault="008E060B" w:rsidP="004A044B">
            <w:pPr>
              <w:jc w:val="right"/>
            </w:pPr>
            <w:r>
              <w:t>82</w:t>
            </w:r>
          </w:p>
        </w:tc>
      </w:tr>
      <w:tr w:rsidR="008E060B" w:rsidRPr="00AC656D" w:rsidTr="008E060B">
        <w:tc>
          <w:tcPr>
            <w:tcW w:w="4688" w:type="dxa"/>
          </w:tcPr>
          <w:p w:rsidR="008E060B" w:rsidRPr="00AC656D" w:rsidRDefault="008E060B" w:rsidP="008E060B">
            <w:r>
              <w:t>Obtain debt advice</w:t>
            </w:r>
          </w:p>
        </w:tc>
        <w:tc>
          <w:tcPr>
            <w:tcW w:w="2204" w:type="dxa"/>
          </w:tcPr>
          <w:p w:rsidR="008E060B" w:rsidRPr="00AC656D" w:rsidRDefault="008E060B" w:rsidP="004A044B">
            <w:pPr>
              <w:jc w:val="right"/>
            </w:pPr>
            <w:r>
              <w:t>76</w:t>
            </w:r>
          </w:p>
        </w:tc>
        <w:tc>
          <w:tcPr>
            <w:tcW w:w="2134" w:type="dxa"/>
          </w:tcPr>
          <w:p w:rsidR="008E060B" w:rsidRPr="00AC656D" w:rsidRDefault="008E060B" w:rsidP="004A044B">
            <w:pPr>
              <w:jc w:val="right"/>
            </w:pPr>
            <w:r>
              <w:t>46</w:t>
            </w:r>
          </w:p>
        </w:tc>
      </w:tr>
      <w:tr w:rsidR="008E060B" w:rsidRPr="00AC656D" w:rsidTr="008E060B">
        <w:tc>
          <w:tcPr>
            <w:tcW w:w="4688" w:type="dxa"/>
          </w:tcPr>
          <w:p w:rsidR="008E060B" w:rsidRPr="00AC656D" w:rsidRDefault="008E060B" w:rsidP="008E060B">
            <w:r>
              <w:t>Prepare for work</w:t>
            </w:r>
          </w:p>
        </w:tc>
        <w:tc>
          <w:tcPr>
            <w:tcW w:w="2204" w:type="dxa"/>
          </w:tcPr>
          <w:p w:rsidR="008E060B" w:rsidRPr="00AC656D" w:rsidRDefault="008E060B" w:rsidP="004A044B">
            <w:pPr>
              <w:jc w:val="right"/>
            </w:pPr>
            <w:r w:rsidRPr="00AC656D">
              <w:t>6</w:t>
            </w:r>
            <w:r>
              <w:t>2</w:t>
            </w:r>
          </w:p>
        </w:tc>
        <w:tc>
          <w:tcPr>
            <w:tcW w:w="2134" w:type="dxa"/>
          </w:tcPr>
          <w:p w:rsidR="008E060B" w:rsidRPr="00AC656D" w:rsidRDefault="008E060B" w:rsidP="004A044B">
            <w:pPr>
              <w:jc w:val="right"/>
            </w:pPr>
            <w:r>
              <w:t>50</w:t>
            </w:r>
          </w:p>
        </w:tc>
      </w:tr>
      <w:tr w:rsidR="008E060B" w:rsidRPr="00AC656D" w:rsidTr="008E060B">
        <w:tc>
          <w:tcPr>
            <w:tcW w:w="4688" w:type="dxa"/>
          </w:tcPr>
          <w:p w:rsidR="008E060B" w:rsidRPr="00AC656D" w:rsidRDefault="008E060B" w:rsidP="008E060B">
            <w:r w:rsidRPr="00AC656D">
              <w:lastRenderedPageBreak/>
              <w:t>Engage with a specialist support service</w:t>
            </w:r>
          </w:p>
        </w:tc>
        <w:tc>
          <w:tcPr>
            <w:tcW w:w="2204" w:type="dxa"/>
          </w:tcPr>
          <w:p w:rsidR="008E060B" w:rsidRPr="00AC656D" w:rsidRDefault="008E060B" w:rsidP="004A044B">
            <w:pPr>
              <w:jc w:val="right"/>
            </w:pPr>
            <w:r w:rsidRPr="00AC656D">
              <w:t>61</w:t>
            </w:r>
          </w:p>
        </w:tc>
        <w:tc>
          <w:tcPr>
            <w:tcW w:w="2134" w:type="dxa"/>
          </w:tcPr>
          <w:p w:rsidR="008E060B" w:rsidRPr="00AC656D" w:rsidRDefault="008E060B" w:rsidP="004A044B">
            <w:pPr>
              <w:jc w:val="right"/>
            </w:pPr>
            <w:r>
              <w:t>55</w:t>
            </w:r>
          </w:p>
        </w:tc>
      </w:tr>
    </w:tbl>
    <w:p w:rsidR="0064234F" w:rsidRPr="00AC656D" w:rsidRDefault="0064234F" w:rsidP="00AC656D">
      <w:pPr>
        <w:spacing w:after="200" w:line="276" w:lineRule="auto"/>
        <w:rPr>
          <w:rFonts w:eastAsiaTheme="minorHAnsi" w:cs="Arial"/>
          <w:b/>
          <w:color w:val="auto"/>
        </w:rPr>
      </w:pPr>
    </w:p>
    <w:p w:rsidR="0064234F" w:rsidRPr="00AC656D" w:rsidRDefault="0064234F" w:rsidP="00342E16">
      <w:pPr>
        <w:spacing w:after="200" w:line="276" w:lineRule="auto"/>
        <w:rPr>
          <w:rFonts w:eastAsiaTheme="minorHAnsi" w:cs="Arial"/>
          <w:b/>
          <w:color w:val="auto"/>
        </w:rPr>
      </w:pPr>
      <w:r w:rsidRPr="00AC656D">
        <w:rPr>
          <w:rFonts w:eastAsiaTheme="minorHAnsi" w:cs="Arial"/>
          <w:b/>
          <w:color w:val="auto"/>
        </w:rPr>
        <w:t>Monitoring</w:t>
      </w:r>
    </w:p>
    <w:p w:rsidR="0064234F" w:rsidRPr="000020F1" w:rsidRDefault="0064234F" w:rsidP="00B42D23">
      <w:pPr>
        <w:pStyle w:val="ListParagraph"/>
        <w:numPr>
          <w:ilvl w:val="0"/>
          <w:numId w:val="35"/>
        </w:numPr>
        <w:spacing w:after="200" w:line="276" w:lineRule="auto"/>
        <w:rPr>
          <w:rFonts w:eastAsiaTheme="minorHAnsi" w:cs="Arial"/>
          <w:color w:val="auto"/>
        </w:rPr>
      </w:pPr>
      <w:r w:rsidRPr="00AC656D">
        <w:rPr>
          <w:rFonts w:eastAsiaTheme="minorHAnsi" w:cs="Arial"/>
          <w:color w:val="auto"/>
        </w:rPr>
        <w:t xml:space="preserve">The consistency of decision making will </w:t>
      </w:r>
      <w:r w:rsidR="00273142">
        <w:rPr>
          <w:rFonts w:eastAsiaTheme="minorHAnsi" w:cs="Arial"/>
          <w:color w:val="auto"/>
        </w:rPr>
        <w:t>continue to be</w:t>
      </w:r>
      <w:r w:rsidRPr="00AC656D">
        <w:rPr>
          <w:rFonts w:eastAsiaTheme="minorHAnsi" w:cs="Arial"/>
          <w:color w:val="auto"/>
        </w:rPr>
        <w:t xml:space="preserve"> monitored by undertak</w:t>
      </w:r>
      <w:r w:rsidR="00273142">
        <w:rPr>
          <w:rFonts w:eastAsiaTheme="minorHAnsi" w:cs="Arial"/>
          <w:color w:val="auto"/>
        </w:rPr>
        <w:t xml:space="preserve">ing </w:t>
      </w:r>
      <w:r w:rsidRPr="00AC656D">
        <w:rPr>
          <w:rFonts w:eastAsiaTheme="minorHAnsi" w:cs="Arial"/>
          <w:color w:val="auto"/>
        </w:rPr>
        <w:t xml:space="preserve">a 10% check of all applications, whether successful or unsuccessful. </w:t>
      </w:r>
      <w:r w:rsidR="008E060B">
        <w:rPr>
          <w:rFonts w:eastAsiaTheme="minorHAnsi" w:cs="Arial"/>
          <w:color w:val="auto"/>
        </w:rPr>
        <w:t xml:space="preserve">DHP expenditure is also reported on a monthly basis </w:t>
      </w:r>
      <w:r w:rsidR="00025C77">
        <w:rPr>
          <w:rFonts w:eastAsiaTheme="minorHAnsi" w:cs="Arial"/>
          <w:color w:val="auto"/>
        </w:rPr>
        <w:t xml:space="preserve">and </w:t>
      </w:r>
      <w:r w:rsidRPr="00AC656D">
        <w:rPr>
          <w:rFonts w:eastAsiaTheme="minorHAnsi" w:cs="Arial"/>
          <w:color w:val="auto"/>
        </w:rPr>
        <w:t>include</w:t>
      </w:r>
      <w:r w:rsidR="00025C77">
        <w:rPr>
          <w:rFonts w:eastAsiaTheme="minorHAnsi" w:cs="Arial"/>
          <w:color w:val="auto"/>
        </w:rPr>
        <w:t>s</w:t>
      </w:r>
      <w:r w:rsidRPr="00AC656D">
        <w:rPr>
          <w:rFonts w:eastAsiaTheme="minorHAnsi" w:cs="Arial"/>
          <w:color w:val="auto"/>
        </w:rPr>
        <w:t xml:space="preserve"> detail</w:t>
      </w:r>
      <w:r w:rsidR="00B954F4">
        <w:rPr>
          <w:rFonts w:eastAsiaTheme="minorHAnsi" w:cs="Arial"/>
          <w:color w:val="auto"/>
        </w:rPr>
        <w:t>s</w:t>
      </w:r>
      <w:r w:rsidRPr="00B954F4">
        <w:rPr>
          <w:rFonts w:eastAsiaTheme="minorHAnsi" w:cs="Arial"/>
          <w:color w:val="auto"/>
        </w:rPr>
        <w:t xml:space="preserve"> of the amount of expenditure being made in respect of different Welfare Reform measures, and the number of cases receiving multiple awards throughout the year. Both actual and forecast DHP expenditure will be reported so that pressures </w:t>
      </w:r>
      <w:r w:rsidRPr="000020F1">
        <w:rPr>
          <w:rFonts w:eastAsiaTheme="minorHAnsi" w:cs="Arial"/>
          <w:color w:val="auto"/>
        </w:rPr>
        <w:t>can be identified as early as possible.</w:t>
      </w:r>
    </w:p>
    <w:p w:rsidR="0040736F" w:rsidRPr="000020F1" w:rsidRDefault="002329CF" w:rsidP="00C715B1">
      <w:pPr>
        <w:pStyle w:val="Heading1"/>
        <w:rPr>
          <w:rFonts w:cs="Arial"/>
        </w:rPr>
      </w:pPr>
      <w:r w:rsidRPr="000020F1">
        <w:rPr>
          <w:rFonts w:cs="Arial"/>
        </w:rPr>
        <w:t>Financial implications</w:t>
      </w:r>
    </w:p>
    <w:p w:rsidR="0064234F" w:rsidRPr="00AC656D" w:rsidRDefault="0064234F" w:rsidP="000011DB">
      <w:pPr>
        <w:pStyle w:val="ListParagraph"/>
        <w:numPr>
          <w:ilvl w:val="0"/>
          <w:numId w:val="35"/>
        </w:numPr>
        <w:spacing w:after="200" w:line="276" w:lineRule="auto"/>
        <w:rPr>
          <w:rFonts w:eastAsiaTheme="minorHAnsi" w:cs="Arial"/>
          <w:color w:val="auto"/>
        </w:rPr>
      </w:pPr>
      <w:r w:rsidRPr="00AC656D">
        <w:rPr>
          <w:rFonts w:eastAsiaTheme="minorHAnsi" w:cs="Arial"/>
          <w:color w:val="auto"/>
        </w:rPr>
        <w:t>Oxford’s DH</w:t>
      </w:r>
      <w:r w:rsidR="008A302B">
        <w:rPr>
          <w:rFonts w:eastAsiaTheme="minorHAnsi" w:cs="Arial"/>
          <w:color w:val="auto"/>
        </w:rPr>
        <w:t>P grant for 201</w:t>
      </w:r>
      <w:r w:rsidR="00025C77">
        <w:rPr>
          <w:rFonts w:eastAsiaTheme="minorHAnsi" w:cs="Arial"/>
          <w:color w:val="auto"/>
        </w:rPr>
        <w:t>7</w:t>
      </w:r>
      <w:r w:rsidR="008A302B">
        <w:rPr>
          <w:rFonts w:eastAsiaTheme="minorHAnsi" w:cs="Arial"/>
          <w:color w:val="auto"/>
        </w:rPr>
        <w:t>/1</w:t>
      </w:r>
      <w:r w:rsidR="00025C77">
        <w:rPr>
          <w:rFonts w:eastAsiaTheme="minorHAnsi" w:cs="Arial"/>
          <w:color w:val="auto"/>
        </w:rPr>
        <w:t>8</w:t>
      </w:r>
      <w:r w:rsidR="008A302B">
        <w:rPr>
          <w:rFonts w:eastAsiaTheme="minorHAnsi" w:cs="Arial"/>
          <w:color w:val="auto"/>
        </w:rPr>
        <w:t xml:space="preserve"> is £</w:t>
      </w:r>
      <w:r w:rsidR="00025C77">
        <w:rPr>
          <w:rFonts w:eastAsiaTheme="minorHAnsi" w:cs="Arial"/>
          <w:color w:val="auto"/>
        </w:rPr>
        <w:t>509</w:t>
      </w:r>
      <w:r w:rsidR="008A302B">
        <w:rPr>
          <w:rFonts w:eastAsiaTheme="minorHAnsi" w:cs="Arial"/>
          <w:color w:val="auto"/>
        </w:rPr>
        <w:t>,</w:t>
      </w:r>
      <w:r w:rsidR="00025C77">
        <w:rPr>
          <w:rFonts w:eastAsiaTheme="minorHAnsi" w:cs="Arial"/>
          <w:color w:val="auto"/>
        </w:rPr>
        <w:t>495</w:t>
      </w:r>
      <w:r w:rsidR="008A302B">
        <w:rPr>
          <w:rFonts w:eastAsiaTheme="minorHAnsi" w:cs="Arial"/>
          <w:color w:val="auto"/>
        </w:rPr>
        <w:t xml:space="preserve"> which means a maximum of</w:t>
      </w:r>
      <w:r w:rsidRPr="00AC656D">
        <w:rPr>
          <w:rFonts w:eastAsiaTheme="minorHAnsi" w:cs="Arial"/>
          <w:color w:val="auto"/>
        </w:rPr>
        <w:t xml:space="preserve"> £</w:t>
      </w:r>
      <w:r w:rsidR="00025C77">
        <w:rPr>
          <w:rFonts w:eastAsiaTheme="minorHAnsi" w:cs="Arial"/>
          <w:color w:val="auto"/>
        </w:rPr>
        <w:t>1,273,738</w:t>
      </w:r>
      <w:r w:rsidR="008A302B">
        <w:rPr>
          <w:rFonts w:eastAsiaTheme="minorHAnsi" w:cs="Arial"/>
          <w:color w:val="auto"/>
        </w:rPr>
        <w:t xml:space="preserve"> can be spent next year</w:t>
      </w:r>
      <w:r w:rsidRPr="00AC656D">
        <w:rPr>
          <w:rFonts w:eastAsiaTheme="minorHAnsi" w:cs="Arial"/>
          <w:color w:val="auto"/>
        </w:rPr>
        <w:t>.</w:t>
      </w:r>
      <w:r w:rsidR="00644488">
        <w:rPr>
          <w:rFonts w:eastAsiaTheme="minorHAnsi" w:cs="Arial"/>
          <w:color w:val="auto"/>
        </w:rPr>
        <w:t xml:space="preserve"> Regulations permit local authorities to spend two and a half times their</w:t>
      </w:r>
      <w:r w:rsidR="009C6584">
        <w:rPr>
          <w:rFonts w:eastAsiaTheme="minorHAnsi" w:cs="Arial"/>
          <w:color w:val="auto"/>
        </w:rPr>
        <w:t xml:space="preserve"> grant</w:t>
      </w:r>
      <w:r w:rsidR="00644488">
        <w:rPr>
          <w:rFonts w:eastAsiaTheme="minorHAnsi" w:cs="Arial"/>
          <w:color w:val="auto"/>
        </w:rPr>
        <w:t xml:space="preserve"> on DHP</w:t>
      </w:r>
      <w:r w:rsidR="003547AE">
        <w:rPr>
          <w:rFonts w:eastAsiaTheme="minorHAnsi" w:cs="Arial"/>
          <w:color w:val="auto"/>
        </w:rPr>
        <w:t>s</w:t>
      </w:r>
      <w:r w:rsidR="00644488">
        <w:rPr>
          <w:rFonts w:eastAsiaTheme="minorHAnsi" w:cs="Arial"/>
          <w:color w:val="auto"/>
        </w:rPr>
        <w:t>.</w:t>
      </w:r>
      <w:r w:rsidRPr="00AC656D">
        <w:rPr>
          <w:rFonts w:eastAsiaTheme="minorHAnsi" w:cs="Arial"/>
          <w:color w:val="auto"/>
        </w:rPr>
        <w:t xml:space="preserve">  Any expenditure over and above the grant, up to the ceiling, is a direct cost to the Council. </w:t>
      </w:r>
      <w:r w:rsidR="00025C77">
        <w:rPr>
          <w:rFonts w:eastAsiaTheme="minorHAnsi" w:cs="Arial"/>
          <w:color w:val="auto"/>
        </w:rPr>
        <w:t>A request has been made to the DCLG to transfer £25,000 from the HRA to the General Fund to provide some contingency in the event o</w:t>
      </w:r>
      <w:r w:rsidRPr="00AC656D">
        <w:rPr>
          <w:rFonts w:eastAsiaTheme="minorHAnsi" w:cs="Arial"/>
          <w:color w:val="auto"/>
        </w:rPr>
        <w:t>f expenditure exceeding the government contribution.</w:t>
      </w:r>
      <w:r w:rsidR="00E835F0" w:rsidRPr="00E835F0">
        <w:rPr>
          <w:rFonts w:eastAsiaTheme="minorHAnsi" w:cs="Arial"/>
          <w:color w:val="auto"/>
        </w:rPr>
        <w:t xml:space="preserve"> </w:t>
      </w:r>
      <w:r w:rsidR="00E835F0">
        <w:rPr>
          <w:rFonts w:eastAsiaTheme="minorHAnsi" w:cs="Arial"/>
          <w:color w:val="auto"/>
        </w:rPr>
        <w:t>There is capacity within the HRA budget for this provision.</w:t>
      </w:r>
    </w:p>
    <w:p w:rsidR="00C11ACE" w:rsidRDefault="0064234F" w:rsidP="00B05EFD">
      <w:pPr>
        <w:pStyle w:val="ListParagraph"/>
        <w:numPr>
          <w:ilvl w:val="0"/>
          <w:numId w:val="35"/>
        </w:numPr>
        <w:spacing w:after="200" w:line="276" w:lineRule="auto"/>
        <w:rPr>
          <w:rFonts w:eastAsiaTheme="minorHAnsi" w:cs="Arial"/>
          <w:color w:val="auto"/>
        </w:rPr>
      </w:pPr>
      <w:r w:rsidRPr="00AC656D">
        <w:rPr>
          <w:rFonts w:eastAsiaTheme="minorHAnsi" w:cs="Arial"/>
          <w:color w:val="auto"/>
        </w:rPr>
        <w:t>By making effective use of the Discretionary Housing Payment budget, and targeting awards effectively, the Council will save the costs of placing people in temporary accommodation or dealing with people who are homeless. Typically the cost of placing someone in temporary accommodation can be 18 times that of sustaining a tenancy using DHPs</w:t>
      </w:r>
      <w:r w:rsidRPr="005A116B">
        <w:rPr>
          <w:rFonts w:eastAsiaTheme="minorHAnsi" w:cs="Arial"/>
          <w:color w:val="auto"/>
        </w:rPr>
        <w:t xml:space="preserve">. </w:t>
      </w:r>
    </w:p>
    <w:p w:rsidR="00B02713" w:rsidRPr="005A116B" w:rsidRDefault="00B02713" w:rsidP="00B05EFD">
      <w:pPr>
        <w:pStyle w:val="ListParagraph"/>
        <w:numPr>
          <w:ilvl w:val="0"/>
          <w:numId w:val="35"/>
        </w:numPr>
        <w:spacing w:after="200" w:line="276" w:lineRule="auto"/>
        <w:rPr>
          <w:rFonts w:eastAsiaTheme="minorHAnsi" w:cs="Arial"/>
          <w:color w:val="auto"/>
        </w:rPr>
      </w:pPr>
      <w:r>
        <w:rPr>
          <w:rFonts w:eastAsiaTheme="minorHAnsi" w:cs="Arial"/>
          <w:color w:val="auto"/>
        </w:rPr>
        <w:t xml:space="preserve">The government has confirmed the national DHP budget </w:t>
      </w:r>
      <w:r w:rsidR="00025C77">
        <w:rPr>
          <w:rFonts w:eastAsiaTheme="minorHAnsi" w:cs="Arial"/>
          <w:color w:val="auto"/>
        </w:rPr>
        <w:t>until 2019/20</w:t>
      </w:r>
      <w:r>
        <w:rPr>
          <w:rFonts w:eastAsiaTheme="minorHAnsi" w:cs="Arial"/>
          <w:color w:val="auto"/>
        </w:rPr>
        <w:t xml:space="preserve">. However after 2020, with Universal Credit largely rolled out and the ending of the Revenue Support Grant to local authorities, it is </w:t>
      </w:r>
      <w:r w:rsidR="00025C77">
        <w:rPr>
          <w:rFonts w:eastAsiaTheme="minorHAnsi" w:cs="Arial"/>
          <w:color w:val="auto"/>
        </w:rPr>
        <w:t>possible</w:t>
      </w:r>
      <w:r>
        <w:rPr>
          <w:rFonts w:eastAsiaTheme="minorHAnsi" w:cs="Arial"/>
          <w:color w:val="auto"/>
        </w:rPr>
        <w:t xml:space="preserve"> that </w:t>
      </w:r>
      <w:r w:rsidR="00D31C38">
        <w:rPr>
          <w:rFonts w:eastAsiaTheme="minorHAnsi" w:cs="Arial"/>
          <w:color w:val="auto"/>
        </w:rPr>
        <w:t>government funding for DHP’s will also cease</w:t>
      </w:r>
      <w:r>
        <w:rPr>
          <w:rFonts w:eastAsiaTheme="minorHAnsi" w:cs="Arial"/>
          <w:color w:val="auto"/>
        </w:rPr>
        <w:t>. As such it is important that DHP’s continue to be used to help applicants become financially sustainable and reduce the long term reliance on this financial support.</w:t>
      </w:r>
    </w:p>
    <w:p w:rsidR="0040736F" w:rsidRPr="000020F1" w:rsidRDefault="00DA614B" w:rsidP="006E0BF0">
      <w:pPr>
        <w:pStyle w:val="Heading1"/>
        <w:rPr>
          <w:rFonts w:cs="Arial"/>
        </w:rPr>
      </w:pPr>
      <w:r w:rsidRPr="000020F1">
        <w:rPr>
          <w:rFonts w:cs="Arial"/>
        </w:rPr>
        <w:t>Legal issues</w:t>
      </w:r>
    </w:p>
    <w:p w:rsidR="006778CA" w:rsidRPr="008A302B" w:rsidRDefault="0064234F" w:rsidP="006E0BF0">
      <w:pPr>
        <w:pStyle w:val="ListParagraph"/>
        <w:numPr>
          <w:ilvl w:val="0"/>
          <w:numId w:val="35"/>
        </w:numPr>
        <w:rPr>
          <w:rFonts w:cs="Arial"/>
        </w:rPr>
      </w:pPr>
      <w:r w:rsidRPr="008A302B">
        <w:rPr>
          <w:rFonts w:cs="Arial"/>
        </w:rPr>
        <w:t>The recommendations of this report are within the scope of the Child Support, Pensions and Social Security Act 2000 and The Discretionary Financial Assistance Regulations 2001 (SI2001/1167), and subsequent amendments. Whilst the regulations give a very broad discretion the Council has a duty to act fairly, reasonably and consistently. Each case must be decided on its own merits, and decision making should be consistent throughout the year.</w:t>
      </w:r>
    </w:p>
    <w:p w:rsidR="002329CF" w:rsidRPr="007D7BBA" w:rsidRDefault="002329CF" w:rsidP="005A116B">
      <w:pPr>
        <w:pStyle w:val="Heading1"/>
        <w:rPr>
          <w:rFonts w:cs="Arial"/>
        </w:rPr>
      </w:pPr>
      <w:r w:rsidRPr="007D7BBA">
        <w:rPr>
          <w:rFonts w:cs="Arial"/>
        </w:rPr>
        <w:t>Level of risk</w:t>
      </w:r>
    </w:p>
    <w:p w:rsidR="0064234F" w:rsidRPr="00C626B7" w:rsidRDefault="0064234F" w:rsidP="000020F1">
      <w:pPr>
        <w:pStyle w:val="ListParagraph"/>
        <w:numPr>
          <w:ilvl w:val="0"/>
          <w:numId w:val="35"/>
        </w:numPr>
        <w:spacing w:after="200" w:line="276" w:lineRule="auto"/>
        <w:rPr>
          <w:rFonts w:cs="Arial"/>
        </w:rPr>
      </w:pPr>
      <w:r w:rsidRPr="00AC656D">
        <w:rPr>
          <w:rFonts w:eastAsiaTheme="minorHAnsi" w:cs="Arial"/>
          <w:color w:val="auto"/>
        </w:rPr>
        <w:t xml:space="preserve">An evaluation of the risks associated with the </w:t>
      </w:r>
      <w:r w:rsidR="00025C77">
        <w:rPr>
          <w:rFonts w:eastAsiaTheme="minorHAnsi" w:cs="Arial"/>
          <w:color w:val="auto"/>
        </w:rPr>
        <w:t>DHP</w:t>
      </w:r>
      <w:r w:rsidRPr="00AC656D">
        <w:rPr>
          <w:rFonts w:eastAsiaTheme="minorHAnsi" w:cs="Arial"/>
          <w:color w:val="auto"/>
        </w:rPr>
        <w:t xml:space="preserve"> policy has been carried out. A detailed Risk Register is attached at Appendix 2.</w:t>
      </w:r>
    </w:p>
    <w:p w:rsidR="002329CF" w:rsidRPr="007D7BBA" w:rsidRDefault="002329CF" w:rsidP="000020F1">
      <w:pPr>
        <w:pStyle w:val="Heading1"/>
        <w:rPr>
          <w:rFonts w:cs="Arial"/>
        </w:rPr>
      </w:pPr>
      <w:r w:rsidRPr="007D7BBA">
        <w:rPr>
          <w:rFonts w:cs="Arial"/>
        </w:rPr>
        <w:lastRenderedPageBreak/>
        <w:t xml:space="preserve">Equalities impact </w:t>
      </w:r>
    </w:p>
    <w:p w:rsidR="007E2235" w:rsidRPr="00D9713F" w:rsidRDefault="0064234F" w:rsidP="007E2235">
      <w:pPr>
        <w:pStyle w:val="ListParagraph"/>
        <w:numPr>
          <w:ilvl w:val="0"/>
          <w:numId w:val="35"/>
        </w:numPr>
        <w:spacing w:after="200" w:line="276" w:lineRule="auto"/>
        <w:rPr>
          <w:rFonts w:cs="Arial"/>
        </w:rPr>
      </w:pPr>
      <w:r w:rsidRPr="00D9713F">
        <w:rPr>
          <w:rFonts w:eastAsiaTheme="minorHAnsi" w:cs="Arial"/>
          <w:color w:val="auto"/>
        </w:rPr>
        <w:t>An initial impact assessment has been carried out and is attached at Appendix 3. No undue, adverse impacts have been identified. However as the DHP budget is finite, and needs to be allocated within set guidelines, monitoring will be carried out to ensure there are no unintended consequences of the policy to any specific group of customers.</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AC656D"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7D7BBA" w:rsidRDefault="00E87F7A">
            <w:pPr>
              <w:rPr>
                <w:rFonts w:cs="Arial"/>
                <w:b/>
              </w:rPr>
            </w:pPr>
            <w:r w:rsidRPr="007D7BB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7D7BBA" w:rsidRDefault="00A7205A">
            <w:pPr>
              <w:rPr>
                <w:rFonts w:cs="Arial"/>
              </w:rPr>
            </w:pPr>
            <w:r w:rsidRPr="007D7BBA">
              <w:rPr>
                <w:rFonts w:cs="Arial"/>
              </w:rPr>
              <w:t>Paul Wilding</w:t>
            </w:r>
          </w:p>
        </w:tc>
      </w:tr>
      <w:tr w:rsidR="00DF093E" w:rsidRPr="00AC656D"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Revenues &amp; Benefits Programme Manager</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Service area or department</w:t>
            </w:r>
          </w:p>
        </w:tc>
        <w:tc>
          <w:tcPr>
            <w:tcW w:w="4962" w:type="dxa"/>
            <w:tcBorders>
              <w:top w:val="nil"/>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Welfare Reform Team</w:t>
            </w:r>
          </w:p>
        </w:tc>
      </w:tr>
      <w:tr w:rsidR="00DF093E" w:rsidRPr="00AC656D" w:rsidTr="00A46E98">
        <w:trPr>
          <w:cantSplit/>
          <w:trHeight w:val="396"/>
        </w:trPr>
        <w:tc>
          <w:tcPr>
            <w:tcW w:w="3969" w:type="dxa"/>
            <w:tcBorders>
              <w:top w:val="nil"/>
              <w:left w:val="single" w:sz="8" w:space="0" w:color="000000"/>
              <w:bottom w:val="nil"/>
              <w:right w:val="nil"/>
            </w:tcBorders>
            <w:shd w:val="clear" w:color="auto" w:fill="auto"/>
          </w:tcPr>
          <w:p w:rsidR="00E87F7A" w:rsidRPr="00C626B7" w:rsidRDefault="00E87F7A" w:rsidP="00AC656D">
            <w:pPr>
              <w:rPr>
                <w:rFonts w:cs="Arial"/>
              </w:rPr>
            </w:pPr>
            <w:r w:rsidRPr="00C626B7">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7D7BBA" w:rsidRDefault="00A7205A" w:rsidP="00AC656D">
            <w:pPr>
              <w:rPr>
                <w:rFonts w:cs="Arial"/>
              </w:rPr>
            </w:pPr>
            <w:r w:rsidRPr="007D7BBA">
              <w:rPr>
                <w:rFonts w:cs="Arial"/>
              </w:rPr>
              <w:t>01865 252461</w:t>
            </w:r>
            <w:r w:rsidR="00E87F7A" w:rsidRPr="007D7BBA">
              <w:rPr>
                <w:rFonts w:cs="Arial"/>
              </w:rPr>
              <w:t xml:space="preserve"> </w:t>
            </w:r>
          </w:p>
        </w:tc>
      </w:tr>
      <w:tr w:rsidR="005570B5" w:rsidRPr="00AC656D"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C626B7" w:rsidRDefault="00E87F7A" w:rsidP="00AC656D">
            <w:pPr>
              <w:rPr>
                <w:rFonts w:cs="Arial"/>
              </w:rPr>
            </w:pPr>
            <w:r w:rsidRPr="00C626B7">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7D7BBA" w:rsidRDefault="00A7205A" w:rsidP="00AC656D">
            <w:pPr>
              <w:rPr>
                <w:rStyle w:val="Hyperlink"/>
                <w:rFonts w:cs="Arial"/>
                <w:color w:val="000000"/>
              </w:rPr>
            </w:pPr>
            <w:r w:rsidRPr="007D7BBA">
              <w:rPr>
                <w:rStyle w:val="Hyperlink"/>
                <w:rFonts w:cs="Arial"/>
                <w:color w:val="000000"/>
              </w:rPr>
              <w:t>pwilding@oxford.gov.uk</w:t>
            </w:r>
          </w:p>
        </w:tc>
      </w:tr>
    </w:tbl>
    <w:p w:rsidR="00433B96" w:rsidRPr="00C626B7" w:rsidRDefault="00433B96" w:rsidP="00AC656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AC656D"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7D7BBA" w:rsidRDefault="00182B81" w:rsidP="00AC656D">
            <w:pPr>
              <w:rPr>
                <w:rFonts w:cs="Arial"/>
              </w:rPr>
            </w:pPr>
            <w:r w:rsidRPr="007D7BBA">
              <w:rPr>
                <w:rStyle w:val="Firstpagetablebold"/>
                <w:rFonts w:cs="Arial"/>
              </w:rPr>
              <w:t xml:space="preserve">Background Papers: </w:t>
            </w:r>
            <w:r w:rsidRPr="007D7BBA">
              <w:rPr>
                <w:rStyle w:val="Firstpagetablebold"/>
                <w:rFonts w:cs="Arial"/>
                <w:b w:val="0"/>
              </w:rPr>
              <w:t>None</w:t>
            </w:r>
          </w:p>
        </w:tc>
      </w:tr>
    </w:tbl>
    <w:p w:rsidR="00CE4C87" w:rsidRPr="00C626B7" w:rsidRDefault="00CE4C87" w:rsidP="00AC656D">
      <w:pPr>
        <w:rPr>
          <w:rFonts w:cs="Arial"/>
        </w:rPr>
      </w:pPr>
    </w:p>
    <w:p w:rsidR="004456DD" w:rsidRPr="00C626B7" w:rsidRDefault="004456DD" w:rsidP="00AC656D">
      <w:pPr>
        <w:rPr>
          <w:rFonts w:cs="Arial"/>
        </w:rPr>
      </w:pPr>
      <w:bookmarkStart w:id="0" w:name="_GoBack"/>
      <w:bookmarkEnd w:id="0"/>
    </w:p>
    <w:sectPr w:rsidR="004456DD" w:rsidRPr="00C626B7"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80" w:rsidRDefault="00DA4F80" w:rsidP="004A6D2F">
      <w:r>
        <w:separator/>
      </w:r>
    </w:p>
  </w:endnote>
  <w:endnote w:type="continuationSeparator" w:id="0">
    <w:p w:rsidR="00DA4F80" w:rsidRDefault="00DA4F8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Do not use a footer or page numbers.</w:t>
    </w:r>
  </w:p>
  <w:p w:rsidR="007E1003" w:rsidRDefault="007E1003" w:rsidP="004A6D2F">
    <w:pPr>
      <w:pStyle w:val="Footer"/>
    </w:pPr>
  </w:p>
  <w:p w:rsidR="007E1003" w:rsidRDefault="007E1003"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7E1003"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80" w:rsidRDefault="00DA4F80" w:rsidP="004A6D2F">
      <w:r>
        <w:separator/>
      </w:r>
    </w:p>
  </w:footnote>
  <w:footnote w:type="continuationSeparator" w:id="0">
    <w:p w:rsidR="00DA4F80" w:rsidRDefault="00DA4F8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03" w:rsidRDefault="008803EB" w:rsidP="00D5547E">
    <w:pPr>
      <w:pStyle w:val="Header"/>
      <w:jc w:val="right"/>
    </w:pPr>
    <w:r>
      <w:rPr>
        <w:noProof/>
      </w:rPr>
      <w:drawing>
        <wp:inline distT="0" distB="0" distL="0" distR="0" wp14:anchorId="43236B1D" wp14:editId="40D1035D">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2D7D40"/>
    <w:multiLevelType w:val="hybridMultilevel"/>
    <w:tmpl w:val="AFBAE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1B57231"/>
    <w:multiLevelType w:val="hybridMultilevel"/>
    <w:tmpl w:val="71401C14"/>
    <w:lvl w:ilvl="0" w:tplc="0809000F">
      <w:start w:val="1"/>
      <w:numFmt w:val="decimal"/>
      <w:lvlText w:val="%1."/>
      <w:lvlJc w:val="left"/>
      <w:pPr>
        <w:ind w:left="720" w:hanging="360"/>
      </w:pPr>
    </w:lvl>
    <w:lvl w:ilvl="1" w:tplc="720C97B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7"/>
  </w:num>
  <w:num w:numId="2">
    <w:abstractNumId w:val="32"/>
  </w:num>
  <w:num w:numId="3">
    <w:abstractNumId w:val="24"/>
  </w:num>
  <w:num w:numId="4">
    <w:abstractNumId w:val="20"/>
  </w:num>
  <w:num w:numId="5">
    <w:abstractNumId w:val="29"/>
  </w:num>
  <w:num w:numId="6">
    <w:abstractNumId w:val="33"/>
  </w:num>
  <w:num w:numId="7">
    <w:abstractNumId w:val="23"/>
  </w:num>
  <w:num w:numId="8">
    <w:abstractNumId w:val="21"/>
  </w:num>
  <w:num w:numId="9">
    <w:abstractNumId w:val="14"/>
  </w:num>
  <w:num w:numId="10">
    <w:abstractNumId w:val="17"/>
  </w:num>
  <w:num w:numId="11">
    <w:abstractNumId w:val="26"/>
  </w:num>
  <w:num w:numId="12">
    <w:abstractNumId w:val="25"/>
  </w:num>
  <w:num w:numId="13">
    <w:abstractNumId w:val="10"/>
  </w:num>
  <w:num w:numId="14">
    <w:abstractNumId w:val="34"/>
  </w:num>
  <w:num w:numId="15">
    <w:abstractNumId w:val="18"/>
  </w:num>
  <w:num w:numId="16">
    <w:abstractNumId w:val="11"/>
  </w:num>
  <w:num w:numId="17">
    <w:abstractNumId w:val="28"/>
  </w:num>
  <w:num w:numId="18">
    <w:abstractNumId w:val="12"/>
  </w:num>
  <w:num w:numId="19">
    <w:abstractNumId w:val="30"/>
  </w:num>
  <w:num w:numId="20">
    <w:abstractNumId w:val="19"/>
  </w:num>
  <w:num w:numId="21">
    <w:abstractNumId w:val="22"/>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wbrown@btinternet.com">
    <w15:presenceInfo w15:providerId="Windows Live" w15:userId="33862576_tp_dropb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EB"/>
    <w:rsid w:val="000011DB"/>
    <w:rsid w:val="000020F1"/>
    <w:rsid w:val="000117D4"/>
    <w:rsid w:val="00025C77"/>
    <w:rsid w:val="000314D7"/>
    <w:rsid w:val="00045F8B"/>
    <w:rsid w:val="00046D2B"/>
    <w:rsid w:val="00056263"/>
    <w:rsid w:val="00064D8A"/>
    <w:rsid w:val="00064F82"/>
    <w:rsid w:val="00066510"/>
    <w:rsid w:val="00073B16"/>
    <w:rsid w:val="00077523"/>
    <w:rsid w:val="0009403E"/>
    <w:rsid w:val="000A3631"/>
    <w:rsid w:val="000C089F"/>
    <w:rsid w:val="000C3928"/>
    <w:rsid w:val="000C5E8E"/>
    <w:rsid w:val="000F4751"/>
    <w:rsid w:val="0010524C"/>
    <w:rsid w:val="00106674"/>
    <w:rsid w:val="00111FB1"/>
    <w:rsid w:val="00113418"/>
    <w:rsid w:val="001267E2"/>
    <w:rsid w:val="001356F1"/>
    <w:rsid w:val="00136994"/>
    <w:rsid w:val="0014128E"/>
    <w:rsid w:val="00147352"/>
    <w:rsid w:val="00151888"/>
    <w:rsid w:val="00170A2D"/>
    <w:rsid w:val="001808BC"/>
    <w:rsid w:val="00182B81"/>
    <w:rsid w:val="0018619D"/>
    <w:rsid w:val="001A011E"/>
    <w:rsid w:val="001A066A"/>
    <w:rsid w:val="001A13E6"/>
    <w:rsid w:val="001A5731"/>
    <w:rsid w:val="001B42C3"/>
    <w:rsid w:val="001C2750"/>
    <w:rsid w:val="001C5D5E"/>
    <w:rsid w:val="001D0D0E"/>
    <w:rsid w:val="001D678D"/>
    <w:rsid w:val="001E03F8"/>
    <w:rsid w:val="001E1678"/>
    <w:rsid w:val="001E3376"/>
    <w:rsid w:val="002069B3"/>
    <w:rsid w:val="002329CF"/>
    <w:rsid w:val="00232F5B"/>
    <w:rsid w:val="002356F0"/>
    <w:rsid w:val="00247C29"/>
    <w:rsid w:val="00260467"/>
    <w:rsid w:val="00263EA3"/>
    <w:rsid w:val="00273142"/>
    <w:rsid w:val="002739C2"/>
    <w:rsid w:val="00284F85"/>
    <w:rsid w:val="00290915"/>
    <w:rsid w:val="002A22E2"/>
    <w:rsid w:val="002C4F8A"/>
    <w:rsid w:val="002C64F7"/>
    <w:rsid w:val="002F0D7D"/>
    <w:rsid w:val="002F41F2"/>
    <w:rsid w:val="00301BF3"/>
    <w:rsid w:val="0030208D"/>
    <w:rsid w:val="0032331A"/>
    <w:rsid w:val="00323418"/>
    <w:rsid w:val="003357BF"/>
    <w:rsid w:val="00342E16"/>
    <w:rsid w:val="00351035"/>
    <w:rsid w:val="003547AE"/>
    <w:rsid w:val="00356079"/>
    <w:rsid w:val="00364FAD"/>
    <w:rsid w:val="0036738F"/>
    <w:rsid w:val="0036759C"/>
    <w:rsid w:val="00367AE5"/>
    <w:rsid w:val="00367D71"/>
    <w:rsid w:val="0038150A"/>
    <w:rsid w:val="0039716A"/>
    <w:rsid w:val="003A28BF"/>
    <w:rsid w:val="003B6746"/>
    <w:rsid w:val="003B6E75"/>
    <w:rsid w:val="003B7DA1"/>
    <w:rsid w:val="003D0379"/>
    <w:rsid w:val="003D2574"/>
    <w:rsid w:val="003D2EF2"/>
    <w:rsid w:val="003D4C59"/>
    <w:rsid w:val="003F4267"/>
    <w:rsid w:val="00404032"/>
    <w:rsid w:val="00405C1B"/>
    <w:rsid w:val="0040736F"/>
    <w:rsid w:val="00412C1F"/>
    <w:rsid w:val="00421CB2"/>
    <w:rsid w:val="004268B9"/>
    <w:rsid w:val="00430E2C"/>
    <w:rsid w:val="00433B96"/>
    <w:rsid w:val="00441B00"/>
    <w:rsid w:val="004440F1"/>
    <w:rsid w:val="004456DD"/>
    <w:rsid w:val="00446CDF"/>
    <w:rsid w:val="004521B7"/>
    <w:rsid w:val="004566B4"/>
    <w:rsid w:val="00462AB5"/>
    <w:rsid w:val="00465EAF"/>
    <w:rsid w:val="004738C5"/>
    <w:rsid w:val="004812CC"/>
    <w:rsid w:val="00491046"/>
    <w:rsid w:val="004A044B"/>
    <w:rsid w:val="004A2AC7"/>
    <w:rsid w:val="004A6D2F"/>
    <w:rsid w:val="004C2887"/>
    <w:rsid w:val="004D2626"/>
    <w:rsid w:val="004D6E26"/>
    <w:rsid w:val="004D77D3"/>
    <w:rsid w:val="004E2959"/>
    <w:rsid w:val="004E3F0D"/>
    <w:rsid w:val="004F20EF"/>
    <w:rsid w:val="0050321C"/>
    <w:rsid w:val="00530750"/>
    <w:rsid w:val="00534753"/>
    <w:rsid w:val="0054712D"/>
    <w:rsid w:val="00547EF6"/>
    <w:rsid w:val="005570B5"/>
    <w:rsid w:val="00567E18"/>
    <w:rsid w:val="00575F5F"/>
    <w:rsid w:val="00581805"/>
    <w:rsid w:val="00585F76"/>
    <w:rsid w:val="005A116B"/>
    <w:rsid w:val="005A34E4"/>
    <w:rsid w:val="005B17F2"/>
    <w:rsid w:val="005B59F3"/>
    <w:rsid w:val="005B7FB0"/>
    <w:rsid w:val="005C35A5"/>
    <w:rsid w:val="005C577C"/>
    <w:rsid w:val="005D0621"/>
    <w:rsid w:val="005D1E27"/>
    <w:rsid w:val="005D2A3E"/>
    <w:rsid w:val="005D5EA8"/>
    <w:rsid w:val="005E022E"/>
    <w:rsid w:val="005E5215"/>
    <w:rsid w:val="005F7F7E"/>
    <w:rsid w:val="00614693"/>
    <w:rsid w:val="00623C2F"/>
    <w:rsid w:val="00633578"/>
    <w:rsid w:val="00637068"/>
    <w:rsid w:val="00640AEB"/>
    <w:rsid w:val="0064234F"/>
    <w:rsid w:val="00644488"/>
    <w:rsid w:val="00650811"/>
    <w:rsid w:val="00661D3E"/>
    <w:rsid w:val="00664F63"/>
    <w:rsid w:val="006778CA"/>
    <w:rsid w:val="006852EB"/>
    <w:rsid w:val="00692627"/>
    <w:rsid w:val="006969E7"/>
    <w:rsid w:val="006A335C"/>
    <w:rsid w:val="006A3643"/>
    <w:rsid w:val="006C2A29"/>
    <w:rsid w:val="006C55BB"/>
    <w:rsid w:val="006C64CF"/>
    <w:rsid w:val="006D17B1"/>
    <w:rsid w:val="006D4752"/>
    <w:rsid w:val="006D708A"/>
    <w:rsid w:val="006E0BF0"/>
    <w:rsid w:val="006E14C1"/>
    <w:rsid w:val="006F0292"/>
    <w:rsid w:val="006F27FA"/>
    <w:rsid w:val="006F416B"/>
    <w:rsid w:val="006F519B"/>
    <w:rsid w:val="00704717"/>
    <w:rsid w:val="0070538F"/>
    <w:rsid w:val="00713675"/>
    <w:rsid w:val="00715823"/>
    <w:rsid w:val="00732437"/>
    <w:rsid w:val="00732D65"/>
    <w:rsid w:val="00737B93"/>
    <w:rsid w:val="00745BF0"/>
    <w:rsid w:val="007615FE"/>
    <w:rsid w:val="0076655C"/>
    <w:rsid w:val="007742DC"/>
    <w:rsid w:val="00791437"/>
    <w:rsid w:val="007B0C2C"/>
    <w:rsid w:val="007B278E"/>
    <w:rsid w:val="007C5C23"/>
    <w:rsid w:val="007D259A"/>
    <w:rsid w:val="007D7BBA"/>
    <w:rsid w:val="007E1003"/>
    <w:rsid w:val="007E2235"/>
    <w:rsid w:val="007E2A26"/>
    <w:rsid w:val="007F2348"/>
    <w:rsid w:val="00800257"/>
    <w:rsid w:val="00803F07"/>
    <w:rsid w:val="0080749A"/>
    <w:rsid w:val="00821FB8"/>
    <w:rsid w:val="00822ACD"/>
    <w:rsid w:val="008270C9"/>
    <w:rsid w:val="0083410B"/>
    <w:rsid w:val="008472DE"/>
    <w:rsid w:val="00852A3C"/>
    <w:rsid w:val="00855C66"/>
    <w:rsid w:val="0087018F"/>
    <w:rsid w:val="00871EE4"/>
    <w:rsid w:val="008803EB"/>
    <w:rsid w:val="008A302B"/>
    <w:rsid w:val="008B293F"/>
    <w:rsid w:val="008B7371"/>
    <w:rsid w:val="008D34AC"/>
    <w:rsid w:val="008D3DDB"/>
    <w:rsid w:val="008D3F58"/>
    <w:rsid w:val="008E060B"/>
    <w:rsid w:val="008F573F"/>
    <w:rsid w:val="008F784C"/>
    <w:rsid w:val="009034EC"/>
    <w:rsid w:val="00911EB1"/>
    <w:rsid w:val="009214B7"/>
    <w:rsid w:val="0093067A"/>
    <w:rsid w:val="00941C60"/>
    <w:rsid w:val="00944CEE"/>
    <w:rsid w:val="00960664"/>
    <w:rsid w:val="00963351"/>
    <w:rsid w:val="00966D42"/>
    <w:rsid w:val="00971689"/>
    <w:rsid w:val="00972E0E"/>
    <w:rsid w:val="00973E90"/>
    <w:rsid w:val="00975B07"/>
    <w:rsid w:val="00980B4A"/>
    <w:rsid w:val="009876C5"/>
    <w:rsid w:val="009960AA"/>
    <w:rsid w:val="009B2F24"/>
    <w:rsid w:val="009C6584"/>
    <w:rsid w:val="009E3D0A"/>
    <w:rsid w:val="009E51FC"/>
    <w:rsid w:val="009F1D28"/>
    <w:rsid w:val="009F7618"/>
    <w:rsid w:val="00A04D23"/>
    <w:rsid w:val="00A06766"/>
    <w:rsid w:val="00A13765"/>
    <w:rsid w:val="00A21B12"/>
    <w:rsid w:val="00A23F80"/>
    <w:rsid w:val="00A46E98"/>
    <w:rsid w:val="00A6352B"/>
    <w:rsid w:val="00A701B5"/>
    <w:rsid w:val="00A714BB"/>
    <w:rsid w:val="00A7205A"/>
    <w:rsid w:val="00A90651"/>
    <w:rsid w:val="00A92D8F"/>
    <w:rsid w:val="00A93FEB"/>
    <w:rsid w:val="00AB1254"/>
    <w:rsid w:val="00AB2988"/>
    <w:rsid w:val="00AB7999"/>
    <w:rsid w:val="00AC656D"/>
    <w:rsid w:val="00AD325B"/>
    <w:rsid w:val="00AD3292"/>
    <w:rsid w:val="00AD7DBC"/>
    <w:rsid w:val="00AE4886"/>
    <w:rsid w:val="00AE7AF0"/>
    <w:rsid w:val="00AF14E5"/>
    <w:rsid w:val="00AF5421"/>
    <w:rsid w:val="00B02713"/>
    <w:rsid w:val="00B05EFD"/>
    <w:rsid w:val="00B42D23"/>
    <w:rsid w:val="00B500CA"/>
    <w:rsid w:val="00B746AB"/>
    <w:rsid w:val="00B86314"/>
    <w:rsid w:val="00B954F4"/>
    <w:rsid w:val="00BA1C2E"/>
    <w:rsid w:val="00BB7DB2"/>
    <w:rsid w:val="00BC200B"/>
    <w:rsid w:val="00BC4756"/>
    <w:rsid w:val="00BC69A4"/>
    <w:rsid w:val="00BE0680"/>
    <w:rsid w:val="00BE305F"/>
    <w:rsid w:val="00BE7BA3"/>
    <w:rsid w:val="00BF5682"/>
    <w:rsid w:val="00BF7B09"/>
    <w:rsid w:val="00C043CF"/>
    <w:rsid w:val="00C11ACE"/>
    <w:rsid w:val="00C20A95"/>
    <w:rsid w:val="00C2692F"/>
    <w:rsid w:val="00C3207C"/>
    <w:rsid w:val="00C33E57"/>
    <w:rsid w:val="00C400E1"/>
    <w:rsid w:val="00C41187"/>
    <w:rsid w:val="00C626B7"/>
    <w:rsid w:val="00C63C31"/>
    <w:rsid w:val="00C715B1"/>
    <w:rsid w:val="00C757A0"/>
    <w:rsid w:val="00C760DE"/>
    <w:rsid w:val="00C76D2F"/>
    <w:rsid w:val="00C82630"/>
    <w:rsid w:val="00C838ED"/>
    <w:rsid w:val="00C85B4E"/>
    <w:rsid w:val="00C907F7"/>
    <w:rsid w:val="00CA2103"/>
    <w:rsid w:val="00CB6935"/>
    <w:rsid w:val="00CB6B99"/>
    <w:rsid w:val="00CD0DDD"/>
    <w:rsid w:val="00CE4C87"/>
    <w:rsid w:val="00CE544A"/>
    <w:rsid w:val="00D03D7B"/>
    <w:rsid w:val="00D11E1C"/>
    <w:rsid w:val="00D160B0"/>
    <w:rsid w:val="00D17F94"/>
    <w:rsid w:val="00D223FC"/>
    <w:rsid w:val="00D26D1E"/>
    <w:rsid w:val="00D31C38"/>
    <w:rsid w:val="00D35276"/>
    <w:rsid w:val="00D36B9D"/>
    <w:rsid w:val="00D4331F"/>
    <w:rsid w:val="00D449E6"/>
    <w:rsid w:val="00D474CF"/>
    <w:rsid w:val="00D5547E"/>
    <w:rsid w:val="00D62E53"/>
    <w:rsid w:val="00D869A1"/>
    <w:rsid w:val="00D93BBA"/>
    <w:rsid w:val="00D9713F"/>
    <w:rsid w:val="00DA413F"/>
    <w:rsid w:val="00DA4584"/>
    <w:rsid w:val="00DA4F80"/>
    <w:rsid w:val="00DA614B"/>
    <w:rsid w:val="00DC3060"/>
    <w:rsid w:val="00DC4D11"/>
    <w:rsid w:val="00DC4F98"/>
    <w:rsid w:val="00DE0FB2"/>
    <w:rsid w:val="00DF093E"/>
    <w:rsid w:val="00E01F42"/>
    <w:rsid w:val="00E206D6"/>
    <w:rsid w:val="00E3366E"/>
    <w:rsid w:val="00E52086"/>
    <w:rsid w:val="00E543A6"/>
    <w:rsid w:val="00E545AC"/>
    <w:rsid w:val="00E60479"/>
    <w:rsid w:val="00E61D73"/>
    <w:rsid w:val="00E634D2"/>
    <w:rsid w:val="00E73684"/>
    <w:rsid w:val="00E818D6"/>
    <w:rsid w:val="00E835F0"/>
    <w:rsid w:val="00E87F7A"/>
    <w:rsid w:val="00E96BD7"/>
    <w:rsid w:val="00EA0DB1"/>
    <w:rsid w:val="00EA0EE9"/>
    <w:rsid w:val="00EC1DD9"/>
    <w:rsid w:val="00ED5019"/>
    <w:rsid w:val="00ED52CA"/>
    <w:rsid w:val="00ED5860"/>
    <w:rsid w:val="00EE16DD"/>
    <w:rsid w:val="00EE35C9"/>
    <w:rsid w:val="00F05ECA"/>
    <w:rsid w:val="00F26344"/>
    <w:rsid w:val="00F26D0C"/>
    <w:rsid w:val="00F26D77"/>
    <w:rsid w:val="00F302BC"/>
    <w:rsid w:val="00F330AF"/>
    <w:rsid w:val="00F3566E"/>
    <w:rsid w:val="00F375FB"/>
    <w:rsid w:val="00F41AC1"/>
    <w:rsid w:val="00F4367A"/>
    <w:rsid w:val="00F4435B"/>
    <w:rsid w:val="00F445B1"/>
    <w:rsid w:val="00F45CD4"/>
    <w:rsid w:val="00F66DCA"/>
    <w:rsid w:val="00F74F53"/>
    <w:rsid w:val="00F75B1A"/>
    <w:rsid w:val="00F7606D"/>
    <w:rsid w:val="00F81670"/>
    <w:rsid w:val="00F8173A"/>
    <w:rsid w:val="00F82024"/>
    <w:rsid w:val="00F95BC9"/>
    <w:rsid w:val="00F96F1F"/>
    <w:rsid w:val="00FA624C"/>
    <w:rsid w:val="00FB0EC3"/>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table" w:customStyle="1" w:styleId="TableGrid1">
    <w:name w:val="Table Grid1"/>
    <w:basedOn w:val="TableNormal"/>
    <w:next w:val="TableGrid"/>
    <w:uiPriority w:val="59"/>
    <w:rsid w:val="0064234F"/>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1E82-57FF-46D2-B2D5-0B08578D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257FA48A</Template>
  <TotalTime>5</TotalTime>
  <Pages>7</Pages>
  <Words>2008</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paul.wilding</dc:creator>
  <cp:lastModifiedBy>JMitchell</cp:lastModifiedBy>
  <cp:revision>4</cp:revision>
  <cp:lastPrinted>2015-07-03T13:50:00Z</cp:lastPrinted>
  <dcterms:created xsi:type="dcterms:W3CDTF">2017-09-25T08:04:00Z</dcterms:created>
  <dcterms:modified xsi:type="dcterms:W3CDTF">2017-10-02T14:53:00Z</dcterms:modified>
</cp:coreProperties>
</file>